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D484E">
      <w:pPr>
        <w:pStyle w:val="4"/>
        <w:spacing w:line="317" w:lineRule="auto"/>
      </w:pPr>
    </w:p>
    <w:p w14:paraId="32FDB52D">
      <w:pPr>
        <w:pStyle w:val="4"/>
        <w:spacing w:line="317" w:lineRule="auto"/>
      </w:pPr>
    </w:p>
    <w:p w14:paraId="672618A7">
      <w:pPr>
        <w:pStyle w:val="8"/>
        <w:ind w:firstLine="210"/>
      </w:pPr>
    </w:p>
    <w:p w14:paraId="362702ED">
      <w:pPr>
        <w:pStyle w:val="11"/>
      </w:pPr>
    </w:p>
    <w:p w14:paraId="704E1641">
      <w:pPr>
        <w:pStyle w:val="4"/>
        <w:spacing w:line="318" w:lineRule="auto"/>
      </w:pPr>
    </w:p>
    <w:p w14:paraId="6C9A9C4A">
      <w:pPr>
        <w:spacing w:line="360" w:lineRule="auto"/>
        <w:jc w:val="center"/>
        <w:rPr>
          <w:rFonts w:hint="eastAsia" w:ascii="黑体" w:hAnsi="黑体" w:eastAsia="黑体" w:cs="黑体"/>
          <w:spacing w:val="10"/>
          <w:sz w:val="52"/>
          <w:szCs w:val="52"/>
          <w:lang w:val="en-US" w:eastAsia="zh-CN"/>
          <w14:textOutline w14:w="8712" w14:cap="sq" w14:cmpd="sng" w14:algn="ctr">
            <w14:solidFill>
              <w14:srgbClr w14:val="000000"/>
            </w14:solidFill>
            <w14:prstDash w14:val="solid"/>
            <w14:bevel/>
          </w14:textOutline>
        </w:rPr>
      </w:pPr>
      <w:r>
        <w:rPr>
          <w:rFonts w:hint="eastAsia" w:ascii="黑体" w:hAnsi="黑体" w:eastAsia="黑体" w:cs="黑体"/>
          <w:spacing w:val="10"/>
          <w:sz w:val="52"/>
          <w:szCs w:val="52"/>
          <w:lang w:eastAsia="zh-CN"/>
          <w14:textOutline w14:w="8712" w14:cap="sq" w14:cmpd="sng" w14:algn="ctr">
            <w14:solidFill>
              <w14:srgbClr w14:val="000000"/>
            </w14:solidFill>
            <w14:prstDash w14:val="solid"/>
            <w14:bevel/>
          </w14:textOutline>
        </w:rPr>
        <w:t>济宁</w:t>
      </w:r>
      <w:r>
        <w:rPr>
          <w:rFonts w:hint="eastAsia" w:ascii="黑体" w:hAnsi="黑体" w:eastAsia="黑体" w:cs="黑体"/>
          <w:spacing w:val="10"/>
          <w:sz w:val="52"/>
          <w:szCs w:val="52"/>
          <w:lang w:val="en-US" w:eastAsia="zh-CN"/>
          <w14:textOutline w14:w="8712" w14:cap="sq" w14:cmpd="sng" w14:algn="ctr">
            <w14:solidFill>
              <w14:srgbClr w14:val="000000"/>
            </w14:solidFill>
            <w14:prstDash w14:val="solid"/>
            <w14:bevel/>
          </w14:textOutline>
        </w:rPr>
        <w:t>高新社发投资集团有限公司</w:t>
      </w:r>
    </w:p>
    <w:p w14:paraId="6D1D2484">
      <w:pPr>
        <w:spacing w:line="360" w:lineRule="auto"/>
        <w:jc w:val="center"/>
        <w:rPr>
          <w:rFonts w:ascii="黑体" w:hAnsi="黑体" w:eastAsia="黑体" w:cs="黑体"/>
          <w:sz w:val="52"/>
          <w:szCs w:val="52"/>
          <w:lang w:eastAsia="zh-CN"/>
        </w:rPr>
      </w:pPr>
      <w:r>
        <w:rPr>
          <w:rFonts w:hint="eastAsia" w:ascii="黑体" w:hAnsi="黑体" w:eastAsia="黑体" w:cs="黑体"/>
          <w:spacing w:val="10"/>
          <w:sz w:val="52"/>
          <w:szCs w:val="52"/>
          <w:lang w:eastAsia="zh-CN"/>
          <w14:textOutline w14:w="8712" w14:cap="sq" w14:cmpd="sng" w14:algn="ctr">
            <w14:solidFill>
              <w14:srgbClr w14:val="000000"/>
            </w14:solidFill>
            <w14:prstDash w14:val="solid"/>
            <w14:bevel/>
          </w14:textOutline>
        </w:rPr>
        <w:t>招标代理服务机构框架协议采购项目</w:t>
      </w:r>
    </w:p>
    <w:p w14:paraId="68C52F97">
      <w:pPr>
        <w:pStyle w:val="4"/>
        <w:spacing w:line="269" w:lineRule="auto"/>
        <w:rPr>
          <w:lang w:eastAsia="zh-CN"/>
        </w:rPr>
      </w:pPr>
    </w:p>
    <w:p w14:paraId="6E45D0F4">
      <w:pPr>
        <w:pStyle w:val="4"/>
        <w:spacing w:line="270" w:lineRule="auto"/>
        <w:rPr>
          <w:lang w:eastAsia="zh-CN"/>
        </w:rPr>
      </w:pPr>
    </w:p>
    <w:p w14:paraId="7ABCC4AF">
      <w:pPr>
        <w:pStyle w:val="22"/>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黑体" w:hAnsi="黑体" w:eastAsia="黑体" w:cs="黑体"/>
          <w:snapToGrid w:val="0"/>
          <w:color w:val="000000"/>
          <w:spacing w:val="10"/>
          <w:sz w:val="52"/>
          <w:szCs w:val="52"/>
          <w:lang w:val="en-US" w:eastAsia="zh-CN" w:bidi="ar-SA"/>
          <w14:textOutline w14:w="8712" w14:cap="sq" w14:cmpd="sng" w14:algn="ctr">
            <w14:solidFill>
              <w14:srgbClr w14:val="000000"/>
            </w14:solidFill>
            <w14:prstDash w14:val="solid"/>
            <w14:bevel/>
          </w14:textOutline>
        </w:rPr>
      </w:pPr>
      <w:bookmarkStart w:id="25" w:name="_GoBack"/>
      <w:bookmarkEnd w:id="25"/>
      <w:r>
        <w:rPr>
          <w:rFonts w:hint="eastAsia" w:ascii="黑体" w:hAnsi="黑体" w:eastAsia="黑体" w:cs="黑体"/>
          <w:snapToGrid w:val="0"/>
          <w:color w:val="000000"/>
          <w:spacing w:val="10"/>
          <w:sz w:val="52"/>
          <w:szCs w:val="52"/>
          <w:lang w:val="en-US" w:eastAsia="zh-CN" w:bidi="ar-SA"/>
          <w14:textOutline w14:w="8712" w14:cap="sq" w14:cmpd="sng" w14:algn="ctr">
            <w14:solidFill>
              <w14:srgbClr w14:val="000000"/>
            </w14:solidFill>
            <w14:prstDash w14:val="solid"/>
            <w14:bevel/>
          </w14:textOutline>
        </w:rPr>
        <w:t>征集文件</w:t>
      </w:r>
    </w:p>
    <w:p w14:paraId="5D708513">
      <w:pPr>
        <w:pStyle w:val="4"/>
        <w:spacing w:line="270" w:lineRule="auto"/>
        <w:rPr>
          <w:lang w:eastAsia="zh-CN"/>
        </w:rPr>
      </w:pPr>
    </w:p>
    <w:p w14:paraId="52A8CBF0">
      <w:pPr>
        <w:pStyle w:val="4"/>
        <w:spacing w:line="247" w:lineRule="auto"/>
        <w:rPr>
          <w:lang w:eastAsia="zh-CN"/>
        </w:rPr>
      </w:pPr>
    </w:p>
    <w:p w14:paraId="6632BD28">
      <w:pPr>
        <w:pStyle w:val="4"/>
        <w:spacing w:line="247" w:lineRule="auto"/>
        <w:rPr>
          <w:lang w:eastAsia="zh-CN"/>
        </w:rPr>
      </w:pPr>
    </w:p>
    <w:p w14:paraId="1E9A3095">
      <w:pPr>
        <w:pStyle w:val="4"/>
        <w:spacing w:line="247" w:lineRule="auto"/>
        <w:rPr>
          <w:lang w:eastAsia="zh-CN"/>
        </w:rPr>
      </w:pPr>
    </w:p>
    <w:p w14:paraId="5517DFA4">
      <w:pPr>
        <w:pStyle w:val="4"/>
        <w:spacing w:line="247" w:lineRule="auto"/>
        <w:rPr>
          <w:lang w:eastAsia="zh-CN"/>
        </w:rPr>
      </w:pPr>
    </w:p>
    <w:p w14:paraId="1DCDC195">
      <w:pPr>
        <w:pStyle w:val="4"/>
        <w:spacing w:line="248" w:lineRule="auto"/>
        <w:rPr>
          <w:lang w:eastAsia="zh-CN"/>
        </w:rPr>
      </w:pPr>
    </w:p>
    <w:p w14:paraId="54B2FAA3">
      <w:pPr>
        <w:pStyle w:val="4"/>
        <w:spacing w:line="248" w:lineRule="auto"/>
        <w:rPr>
          <w:lang w:eastAsia="zh-CN"/>
        </w:rPr>
      </w:pPr>
    </w:p>
    <w:p w14:paraId="398695BC">
      <w:pPr>
        <w:spacing w:before="25" w:line="222" w:lineRule="auto"/>
        <w:rPr>
          <w:rFonts w:ascii="黑体" w:hAnsi="黑体" w:eastAsia="黑体" w:cs="黑体"/>
          <w:sz w:val="28"/>
          <w:szCs w:val="28"/>
          <w:lang w:eastAsia="zh-CN"/>
        </w:rPr>
      </w:pPr>
    </w:p>
    <w:p w14:paraId="4656B03C">
      <w:pPr>
        <w:pStyle w:val="4"/>
        <w:spacing w:line="247" w:lineRule="auto"/>
        <w:rPr>
          <w:rFonts w:hint="eastAsia" w:eastAsiaTheme="minorEastAsia"/>
          <w:lang w:eastAsia="zh-CN"/>
        </w:rPr>
      </w:pPr>
    </w:p>
    <w:p w14:paraId="51AA45DD">
      <w:pPr>
        <w:pStyle w:val="4"/>
        <w:spacing w:line="247" w:lineRule="auto"/>
        <w:rPr>
          <w:lang w:eastAsia="zh-CN"/>
        </w:rPr>
      </w:pPr>
    </w:p>
    <w:p w14:paraId="52F66E4C">
      <w:pPr>
        <w:pStyle w:val="4"/>
        <w:spacing w:line="247" w:lineRule="auto"/>
        <w:rPr>
          <w:lang w:eastAsia="zh-CN"/>
        </w:rPr>
      </w:pPr>
    </w:p>
    <w:p w14:paraId="5BEF2666">
      <w:pPr>
        <w:pStyle w:val="4"/>
        <w:spacing w:line="247" w:lineRule="auto"/>
        <w:rPr>
          <w:lang w:eastAsia="zh-CN"/>
        </w:rPr>
      </w:pPr>
    </w:p>
    <w:p w14:paraId="07483130">
      <w:pPr>
        <w:pStyle w:val="4"/>
        <w:spacing w:line="247" w:lineRule="auto"/>
        <w:rPr>
          <w:lang w:eastAsia="zh-CN"/>
        </w:rPr>
      </w:pPr>
    </w:p>
    <w:p w14:paraId="59A853A2">
      <w:pPr>
        <w:pStyle w:val="4"/>
        <w:spacing w:line="247" w:lineRule="auto"/>
        <w:rPr>
          <w:lang w:eastAsia="zh-CN"/>
        </w:rPr>
      </w:pPr>
    </w:p>
    <w:p w14:paraId="59267627">
      <w:pPr>
        <w:pStyle w:val="4"/>
        <w:spacing w:line="247" w:lineRule="auto"/>
        <w:rPr>
          <w:lang w:eastAsia="zh-CN"/>
        </w:rPr>
      </w:pPr>
    </w:p>
    <w:p w14:paraId="6FDD335A">
      <w:pPr>
        <w:pStyle w:val="4"/>
        <w:spacing w:line="247" w:lineRule="auto"/>
        <w:rPr>
          <w:lang w:eastAsia="zh-CN"/>
        </w:rPr>
      </w:pPr>
    </w:p>
    <w:p w14:paraId="74D315E8">
      <w:pPr>
        <w:pStyle w:val="4"/>
        <w:spacing w:line="247" w:lineRule="auto"/>
        <w:rPr>
          <w:lang w:eastAsia="zh-CN"/>
        </w:rPr>
      </w:pPr>
    </w:p>
    <w:p w14:paraId="6175567C">
      <w:pPr>
        <w:pStyle w:val="4"/>
        <w:spacing w:line="247" w:lineRule="auto"/>
        <w:rPr>
          <w:lang w:eastAsia="zh-CN"/>
        </w:rPr>
      </w:pPr>
    </w:p>
    <w:p w14:paraId="13B34F9B">
      <w:pPr>
        <w:pStyle w:val="4"/>
        <w:spacing w:line="247" w:lineRule="auto"/>
        <w:rPr>
          <w:lang w:eastAsia="zh-CN"/>
        </w:rPr>
      </w:pPr>
    </w:p>
    <w:p w14:paraId="186E051B">
      <w:pPr>
        <w:pStyle w:val="4"/>
        <w:spacing w:line="247" w:lineRule="auto"/>
        <w:rPr>
          <w:lang w:eastAsia="zh-CN"/>
        </w:rPr>
      </w:pPr>
    </w:p>
    <w:p w14:paraId="3CC7E6D4">
      <w:pPr>
        <w:pStyle w:val="4"/>
        <w:spacing w:line="247" w:lineRule="auto"/>
        <w:rPr>
          <w:lang w:eastAsia="zh-CN"/>
        </w:rPr>
      </w:pPr>
    </w:p>
    <w:p w14:paraId="24B90807">
      <w:pPr>
        <w:pStyle w:val="4"/>
        <w:spacing w:line="247" w:lineRule="auto"/>
        <w:rPr>
          <w:lang w:eastAsia="zh-CN"/>
        </w:rPr>
      </w:pPr>
    </w:p>
    <w:p w14:paraId="7EAFEE01">
      <w:pPr>
        <w:pStyle w:val="4"/>
        <w:spacing w:line="247" w:lineRule="auto"/>
        <w:rPr>
          <w:sz w:val="32"/>
          <w:szCs w:val="32"/>
          <w:lang w:eastAsia="zh-CN"/>
        </w:rPr>
      </w:pPr>
    </w:p>
    <w:p w14:paraId="16C9540C">
      <w:pPr>
        <w:pStyle w:val="4"/>
        <w:spacing w:line="248" w:lineRule="auto"/>
        <w:rPr>
          <w:sz w:val="32"/>
          <w:szCs w:val="32"/>
          <w:lang w:eastAsia="zh-CN"/>
        </w:rPr>
      </w:pPr>
    </w:p>
    <w:p w14:paraId="2B272EDA">
      <w:pPr>
        <w:spacing w:before="91" w:line="222" w:lineRule="auto"/>
        <w:jc w:val="center"/>
        <w:rPr>
          <w:rFonts w:ascii="黑体" w:hAnsi="黑体" w:eastAsia="黑体" w:cs="黑体"/>
          <w:sz w:val="32"/>
          <w:szCs w:val="32"/>
          <w:lang w:eastAsia="zh-CN"/>
        </w:rPr>
      </w:pPr>
      <w:r>
        <w:rPr>
          <w:rFonts w:ascii="黑体" w:hAnsi="黑体" w:eastAsia="黑体" w:cs="黑体"/>
          <w:spacing w:val="-1"/>
          <w:sz w:val="32"/>
          <w:szCs w:val="32"/>
          <w:lang w:eastAsia="zh-CN"/>
        </w:rPr>
        <w:t>征集人：</w:t>
      </w:r>
      <w:r>
        <w:rPr>
          <w:rFonts w:hint="eastAsia" w:ascii="黑体" w:hAnsi="黑体" w:eastAsia="黑体" w:cs="黑体"/>
          <w:spacing w:val="-1"/>
          <w:sz w:val="32"/>
          <w:szCs w:val="32"/>
          <w:lang w:eastAsia="zh-CN"/>
        </w:rPr>
        <w:t>济宁</w:t>
      </w:r>
      <w:r>
        <w:rPr>
          <w:rFonts w:hint="eastAsia" w:ascii="黑体" w:hAnsi="黑体" w:eastAsia="黑体" w:cs="黑体"/>
          <w:spacing w:val="-1"/>
          <w:sz w:val="32"/>
          <w:szCs w:val="32"/>
          <w:lang w:val="en-US" w:eastAsia="zh-CN"/>
        </w:rPr>
        <w:t>高新社发投资集团有限公司</w:t>
      </w:r>
    </w:p>
    <w:p w14:paraId="0DD54B1A">
      <w:pPr>
        <w:pStyle w:val="4"/>
        <w:spacing w:line="295" w:lineRule="auto"/>
        <w:jc w:val="center"/>
        <w:rPr>
          <w:sz w:val="32"/>
          <w:szCs w:val="32"/>
          <w:lang w:eastAsia="zh-CN"/>
        </w:rPr>
      </w:pPr>
    </w:p>
    <w:p w14:paraId="3EB002FB">
      <w:pPr>
        <w:pStyle w:val="4"/>
        <w:spacing w:line="297" w:lineRule="auto"/>
        <w:rPr>
          <w:sz w:val="32"/>
          <w:szCs w:val="32"/>
          <w:lang w:eastAsia="zh-CN"/>
        </w:rPr>
      </w:pPr>
    </w:p>
    <w:p w14:paraId="46CAB9FA">
      <w:pPr>
        <w:spacing w:before="92" w:line="224" w:lineRule="auto"/>
        <w:jc w:val="center"/>
        <w:rPr>
          <w:rFonts w:ascii="黑体" w:hAnsi="黑体" w:eastAsia="黑体" w:cs="黑体"/>
          <w:sz w:val="32"/>
          <w:szCs w:val="32"/>
          <w:lang w:eastAsia="zh-CN"/>
        </w:rPr>
      </w:pPr>
      <w:r>
        <w:rPr>
          <w:rFonts w:hint="eastAsia" w:ascii="黑体" w:hAnsi="黑体" w:eastAsia="黑体" w:cs="黑体"/>
          <w:spacing w:val="-1"/>
          <w:sz w:val="32"/>
          <w:szCs w:val="32"/>
          <w:lang w:eastAsia="zh-CN"/>
        </w:rPr>
        <w:t>202</w:t>
      </w:r>
      <w:r>
        <w:rPr>
          <w:rFonts w:hint="eastAsia" w:ascii="黑体" w:hAnsi="黑体" w:eastAsia="黑体" w:cs="黑体"/>
          <w:spacing w:val="-1"/>
          <w:sz w:val="32"/>
          <w:szCs w:val="32"/>
          <w:lang w:val="en-US" w:eastAsia="zh-CN"/>
        </w:rPr>
        <w:t>5</w:t>
      </w:r>
      <w:r>
        <w:rPr>
          <w:rFonts w:ascii="黑体" w:hAnsi="黑体" w:eastAsia="黑体" w:cs="黑体"/>
          <w:spacing w:val="-1"/>
          <w:sz w:val="32"/>
          <w:szCs w:val="32"/>
          <w:lang w:eastAsia="zh-CN"/>
        </w:rPr>
        <w:t>年</w:t>
      </w:r>
      <w:r>
        <w:rPr>
          <w:rFonts w:hint="eastAsia" w:ascii="黑体" w:hAnsi="黑体" w:eastAsia="黑体" w:cs="黑体"/>
          <w:spacing w:val="-1"/>
          <w:sz w:val="32"/>
          <w:szCs w:val="32"/>
          <w:lang w:val="en-US" w:eastAsia="zh-CN"/>
        </w:rPr>
        <w:t>10</w:t>
      </w:r>
      <w:r>
        <w:rPr>
          <w:rFonts w:ascii="黑体" w:hAnsi="黑体" w:eastAsia="黑体" w:cs="黑体"/>
          <w:spacing w:val="-1"/>
          <w:sz w:val="32"/>
          <w:szCs w:val="32"/>
          <w:lang w:eastAsia="zh-CN"/>
        </w:rPr>
        <w:t>月</w:t>
      </w:r>
    </w:p>
    <w:p w14:paraId="3EC677C6">
      <w:pPr>
        <w:spacing w:line="224" w:lineRule="auto"/>
        <w:rPr>
          <w:rFonts w:ascii="黑体" w:hAnsi="黑体" w:eastAsia="黑体" w:cs="黑体"/>
          <w:sz w:val="28"/>
          <w:szCs w:val="28"/>
          <w:lang w:eastAsia="zh-CN"/>
        </w:rPr>
        <w:sectPr>
          <w:footerReference r:id="rId3" w:type="default"/>
          <w:pgSz w:w="11922" w:h="16839"/>
          <w:pgMar w:top="1134" w:right="1134" w:bottom="1134" w:left="1134" w:header="1134" w:footer="1134" w:gutter="0"/>
          <w:cols w:space="720" w:num="1"/>
          <w:titlePg/>
          <w:docGrid w:linePitch="286" w:charSpace="0"/>
        </w:sectPr>
      </w:pPr>
    </w:p>
    <w:p w14:paraId="35370A15">
      <w:pPr>
        <w:spacing w:before="64" w:line="227" w:lineRule="auto"/>
        <w:ind w:left="4154"/>
        <w:rPr>
          <w:rFonts w:ascii="黑体" w:hAnsi="黑体" w:eastAsia="黑体" w:cs="黑体"/>
          <w:spacing w:val="-22"/>
          <w:sz w:val="31"/>
          <w:szCs w:val="31"/>
          <w:lang w:eastAsia="zh-CN"/>
        </w:rPr>
      </w:pPr>
    </w:p>
    <w:p w14:paraId="796C4186">
      <w:pPr>
        <w:spacing w:before="64" w:line="227" w:lineRule="auto"/>
        <w:ind w:left="4154"/>
        <w:rPr>
          <w:rFonts w:hint="eastAsia" w:ascii="宋体" w:hAnsi="宋体" w:eastAsia="宋体" w:cs="宋体"/>
          <w:spacing w:val="-22"/>
          <w:sz w:val="48"/>
          <w:szCs w:val="48"/>
          <w:lang w:eastAsia="zh-CN"/>
        </w:rPr>
      </w:pPr>
    </w:p>
    <w:p w14:paraId="7E41784D">
      <w:pPr>
        <w:spacing w:before="64" w:line="227" w:lineRule="auto"/>
        <w:ind w:left="4154"/>
        <w:rPr>
          <w:rFonts w:hint="eastAsia" w:ascii="宋体" w:hAnsi="宋体" w:eastAsia="宋体" w:cs="宋体"/>
          <w:sz w:val="48"/>
          <w:szCs w:val="48"/>
          <w:lang w:eastAsia="zh-CN"/>
        </w:rPr>
      </w:pPr>
      <w:r>
        <w:rPr>
          <w:rFonts w:hint="eastAsia" w:ascii="宋体" w:hAnsi="宋体" w:eastAsia="宋体" w:cs="宋体"/>
          <w:spacing w:val="-22"/>
          <w:sz w:val="48"/>
          <w:szCs w:val="48"/>
          <w:lang w:eastAsia="zh-CN"/>
        </w:rPr>
        <w:t>目</w:t>
      </w:r>
      <w:r>
        <w:rPr>
          <w:rFonts w:hint="eastAsia" w:ascii="宋体" w:hAnsi="宋体" w:eastAsia="宋体" w:cs="宋体"/>
          <w:spacing w:val="-22"/>
          <w:sz w:val="48"/>
          <w:szCs w:val="48"/>
          <w:lang w:val="en-US" w:eastAsia="zh-CN"/>
        </w:rPr>
        <w:t xml:space="preserve"> </w:t>
      </w:r>
      <w:r>
        <w:rPr>
          <w:rFonts w:hint="eastAsia" w:ascii="宋体" w:hAnsi="宋体" w:eastAsia="宋体" w:cs="宋体"/>
          <w:spacing w:val="20"/>
          <w:sz w:val="48"/>
          <w:szCs w:val="48"/>
          <w:lang w:eastAsia="zh-CN"/>
        </w:rPr>
        <w:t xml:space="preserve"> </w:t>
      </w:r>
      <w:r>
        <w:rPr>
          <w:rFonts w:hint="eastAsia" w:ascii="宋体" w:hAnsi="宋体" w:eastAsia="宋体" w:cs="宋体"/>
          <w:spacing w:val="-22"/>
          <w:sz w:val="48"/>
          <w:szCs w:val="48"/>
          <w:lang w:eastAsia="zh-CN"/>
        </w:rPr>
        <w:t>录</w:t>
      </w:r>
    </w:p>
    <w:p w14:paraId="35DD5194">
      <w:pPr>
        <w:pStyle w:val="4"/>
        <w:spacing w:line="304" w:lineRule="auto"/>
        <w:rPr>
          <w:lang w:eastAsia="zh-CN"/>
        </w:rPr>
      </w:pPr>
    </w:p>
    <w:sdt>
      <w:sdtPr>
        <w:rPr>
          <w:rFonts w:ascii="宋体" w:hAnsi="宋体" w:eastAsia="宋体" w:cs="Arial"/>
          <w:snapToGrid w:val="0"/>
          <w:color w:val="000000"/>
          <w:sz w:val="21"/>
          <w:szCs w:val="21"/>
          <w:lang w:val="en-US" w:eastAsia="en-US" w:bidi="ar-SA"/>
        </w:rPr>
        <w:id w:val="147454647"/>
        <w15:color w:val="DBDBDB"/>
        <w:docPartObj>
          <w:docPartGallery w:val="Table of Contents"/>
          <w:docPartUnique/>
        </w:docPartObj>
      </w:sdtPr>
      <w:sdtEndPr>
        <w:rPr>
          <w:rFonts w:ascii="黑体" w:hAnsi="黑体" w:eastAsia="黑体" w:cs="黑体"/>
          <w:snapToGrid w:val="0"/>
          <w:color w:val="000000"/>
          <w:sz w:val="21"/>
          <w:szCs w:val="24"/>
          <w:lang w:val="en-US" w:eastAsia="zh-CN" w:bidi="ar-SA"/>
        </w:rPr>
      </w:sdtEndPr>
      <w:sdtContent>
        <w:p w14:paraId="7104F9DE">
          <w:pPr>
            <w:spacing w:before="0" w:beforeLines="0" w:after="0" w:afterLines="0" w:line="240" w:lineRule="auto"/>
            <w:ind w:left="0" w:leftChars="0" w:right="0" w:rightChars="0" w:firstLine="0" w:firstLineChars="0"/>
            <w:jc w:val="center"/>
          </w:pPr>
        </w:p>
        <w:p w14:paraId="4F522E9E">
          <w:pPr>
            <w:pStyle w:val="14"/>
            <w:keepNext w:val="0"/>
            <w:keepLines w:val="0"/>
            <w:pageBreakBefore w:val="0"/>
            <w:widowControl/>
            <w:tabs>
              <w:tab w:val="right" w:leader="dot" w:pos="9654"/>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32"/>
              <w:szCs w:val="32"/>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TOC \o "1-1" \h \u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HYPERLINK \l _Toc4518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第一章 征集公告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_Toc4518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lang w:eastAsia="zh-CN"/>
            </w:rPr>
            <w:fldChar w:fldCharType="end"/>
          </w:r>
        </w:p>
        <w:p w14:paraId="20095F38">
          <w:pPr>
            <w:pStyle w:val="14"/>
            <w:keepNext w:val="0"/>
            <w:keepLines w:val="0"/>
            <w:pageBreakBefore w:val="0"/>
            <w:widowControl/>
            <w:tabs>
              <w:tab w:val="right" w:leader="dot" w:pos="9654"/>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32"/>
              <w:szCs w:val="32"/>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HYPERLINK \l _Toc17661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第二章 供应商须知及前附表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_Toc17661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z w:val="32"/>
              <w:szCs w:val="32"/>
              <w:lang w:eastAsia="zh-CN"/>
            </w:rPr>
            <w:fldChar w:fldCharType="end"/>
          </w:r>
        </w:p>
        <w:p w14:paraId="35D3BBE9">
          <w:pPr>
            <w:pStyle w:val="14"/>
            <w:keepNext w:val="0"/>
            <w:keepLines w:val="0"/>
            <w:pageBreakBefore w:val="0"/>
            <w:widowControl/>
            <w:tabs>
              <w:tab w:val="right" w:leader="dot" w:pos="9654"/>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32"/>
              <w:szCs w:val="32"/>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HYPERLINK \l _Toc15348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第三章 采购需求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_Toc15348 \h </w:instrText>
          </w:r>
          <w:r>
            <w:rPr>
              <w:rFonts w:hint="eastAsia" w:ascii="宋体" w:hAnsi="宋体" w:eastAsia="宋体" w:cs="宋体"/>
              <w:sz w:val="32"/>
              <w:szCs w:val="32"/>
            </w:rPr>
            <w:fldChar w:fldCharType="separate"/>
          </w:r>
          <w:r>
            <w:rPr>
              <w:rFonts w:hint="eastAsia" w:ascii="宋体" w:hAnsi="宋体" w:eastAsia="宋体" w:cs="宋体"/>
              <w:sz w:val="32"/>
              <w:szCs w:val="32"/>
            </w:rPr>
            <w:t>16</w:t>
          </w:r>
          <w:r>
            <w:rPr>
              <w:rFonts w:hint="eastAsia" w:ascii="宋体" w:hAnsi="宋体" w:eastAsia="宋体" w:cs="宋体"/>
              <w:sz w:val="32"/>
              <w:szCs w:val="32"/>
            </w:rPr>
            <w:fldChar w:fldCharType="end"/>
          </w:r>
          <w:r>
            <w:rPr>
              <w:rFonts w:hint="eastAsia" w:ascii="宋体" w:hAnsi="宋体" w:eastAsia="宋体" w:cs="宋体"/>
              <w:sz w:val="32"/>
              <w:szCs w:val="32"/>
              <w:lang w:eastAsia="zh-CN"/>
            </w:rPr>
            <w:fldChar w:fldCharType="end"/>
          </w:r>
        </w:p>
        <w:p w14:paraId="20ACF40D">
          <w:pPr>
            <w:pStyle w:val="14"/>
            <w:keepNext w:val="0"/>
            <w:keepLines w:val="0"/>
            <w:pageBreakBefore w:val="0"/>
            <w:widowControl/>
            <w:tabs>
              <w:tab w:val="right" w:leader="dot" w:pos="9654"/>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32"/>
              <w:szCs w:val="32"/>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HYPERLINK \l _Toc26512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第四章 评分办法</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_Toc26512 \h </w:instrText>
          </w:r>
          <w:r>
            <w:rPr>
              <w:rFonts w:hint="eastAsia" w:ascii="宋体" w:hAnsi="宋体" w:eastAsia="宋体" w:cs="宋体"/>
              <w:sz w:val="32"/>
              <w:szCs w:val="32"/>
            </w:rPr>
            <w:fldChar w:fldCharType="separate"/>
          </w:r>
          <w:r>
            <w:rPr>
              <w:rFonts w:hint="eastAsia" w:ascii="宋体" w:hAnsi="宋体" w:eastAsia="宋体" w:cs="宋体"/>
              <w:sz w:val="32"/>
              <w:szCs w:val="32"/>
            </w:rPr>
            <w:t>21</w:t>
          </w:r>
          <w:r>
            <w:rPr>
              <w:rFonts w:hint="eastAsia" w:ascii="宋体" w:hAnsi="宋体" w:eastAsia="宋体" w:cs="宋体"/>
              <w:sz w:val="32"/>
              <w:szCs w:val="32"/>
            </w:rPr>
            <w:fldChar w:fldCharType="end"/>
          </w:r>
          <w:r>
            <w:rPr>
              <w:rFonts w:hint="eastAsia" w:ascii="宋体" w:hAnsi="宋体" w:eastAsia="宋体" w:cs="宋体"/>
              <w:sz w:val="32"/>
              <w:szCs w:val="32"/>
              <w:lang w:eastAsia="zh-CN"/>
            </w:rPr>
            <w:fldChar w:fldCharType="end"/>
          </w:r>
        </w:p>
        <w:p w14:paraId="244D3F42">
          <w:pPr>
            <w:pStyle w:val="14"/>
            <w:keepNext w:val="0"/>
            <w:keepLines w:val="0"/>
            <w:pageBreakBefore w:val="0"/>
            <w:widowControl/>
            <w:tabs>
              <w:tab w:val="right" w:leader="dot" w:pos="9654"/>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32"/>
              <w:szCs w:val="32"/>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HYPERLINK \l _Toc10469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val="en-US" w:eastAsia="zh-CN"/>
            </w:rPr>
            <w:t xml:space="preserve">第五章 </w:t>
          </w:r>
          <w:r>
            <w:rPr>
              <w:rFonts w:hint="eastAsia" w:ascii="宋体" w:hAnsi="宋体" w:eastAsia="宋体" w:cs="宋体"/>
              <w:sz w:val="32"/>
              <w:szCs w:val="32"/>
              <w:lang w:eastAsia="zh-CN"/>
            </w:rPr>
            <w:t>框架协议文本</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_Toc10469 \h </w:instrText>
          </w:r>
          <w:r>
            <w:rPr>
              <w:rFonts w:hint="eastAsia" w:ascii="宋体" w:hAnsi="宋体" w:eastAsia="宋体" w:cs="宋体"/>
              <w:sz w:val="32"/>
              <w:szCs w:val="32"/>
            </w:rPr>
            <w:fldChar w:fldCharType="separate"/>
          </w:r>
          <w:r>
            <w:rPr>
              <w:rFonts w:hint="eastAsia" w:ascii="宋体" w:hAnsi="宋体" w:eastAsia="宋体" w:cs="宋体"/>
              <w:sz w:val="32"/>
              <w:szCs w:val="32"/>
            </w:rPr>
            <w:t>25</w:t>
          </w:r>
          <w:r>
            <w:rPr>
              <w:rFonts w:hint="eastAsia" w:ascii="宋体" w:hAnsi="宋体" w:eastAsia="宋体" w:cs="宋体"/>
              <w:sz w:val="32"/>
              <w:szCs w:val="32"/>
            </w:rPr>
            <w:fldChar w:fldCharType="end"/>
          </w:r>
          <w:r>
            <w:rPr>
              <w:rFonts w:hint="eastAsia" w:ascii="宋体" w:hAnsi="宋体" w:eastAsia="宋体" w:cs="宋体"/>
              <w:sz w:val="32"/>
              <w:szCs w:val="32"/>
              <w:lang w:eastAsia="zh-CN"/>
            </w:rPr>
            <w:fldChar w:fldCharType="end"/>
          </w:r>
        </w:p>
        <w:p w14:paraId="312928A3">
          <w:pPr>
            <w:pStyle w:val="14"/>
            <w:keepNext w:val="0"/>
            <w:keepLines w:val="0"/>
            <w:pageBreakBefore w:val="0"/>
            <w:widowControl/>
            <w:tabs>
              <w:tab w:val="right" w:leader="dot" w:pos="9654"/>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sz w:val="32"/>
              <w:szCs w:val="32"/>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HYPERLINK \l _Toc30550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第</w:t>
          </w:r>
          <w:r>
            <w:rPr>
              <w:rFonts w:hint="eastAsia" w:ascii="宋体" w:hAnsi="宋体" w:eastAsia="宋体" w:cs="宋体"/>
              <w:sz w:val="32"/>
              <w:szCs w:val="32"/>
              <w:lang w:val="en-US" w:eastAsia="zh-CN"/>
            </w:rPr>
            <w:t>六</w:t>
          </w:r>
          <w:r>
            <w:rPr>
              <w:rFonts w:hint="eastAsia" w:ascii="宋体" w:hAnsi="宋体" w:eastAsia="宋体" w:cs="宋体"/>
              <w:sz w:val="32"/>
              <w:szCs w:val="32"/>
              <w:lang w:eastAsia="zh-CN"/>
            </w:rPr>
            <w:t>章 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_Toc30550 \h </w:instrText>
          </w:r>
          <w:r>
            <w:rPr>
              <w:rFonts w:hint="eastAsia" w:ascii="宋体" w:hAnsi="宋体" w:eastAsia="宋体" w:cs="宋体"/>
              <w:sz w:val="32"/>
              <w:szCs w:val="32"/>
            </w:rPr>
            <w:fldChar w:fldCharType="separate"/>
          </w:r>
          <w:r>
            <w:rPr>
              <w:rFonts w:hint="eastAsia" w:ascii="宋体" w:hAnsi="宋体" w:eastAsia="宋体" w:cs="宋体"/>
              <w:sz w:val="32"/>
              <w:szCs w:val="32"/>
            </w:rPr>
            <w:t>37</w:t>
          </w:r>
          <w:r>
            <w:rPr>
              <w:rFonts w:hint="eastAsia" w:ascii="宋体" w:hAnsi="宋体" w:eastAsia="宋体" w:cs="宋体"/>
              <w:sz w:val="32"/>
              <w:szCs w:val="32"/>
            </w:rPr>
            <w:fldChar w:fldCharType="end"/>
          </w:r>
          <w:r>
            <w:rPr>
              <w:rFonts w:hint="eastAsia" w:ascii="宋体" w:hAnsi="宋体" w:eastAsia="宋体" w:cs="宋体"/>
              <w:sz w:val="32"/>
              <w:szCs w:val="32"/>
              <w:lang w:eastAsia="zh-CN"/>
            </w:rPr>
            <w:fldChar w:fldCharType="end"/>
          </w:r>
        </w:p>
        <w:p w14:paraId="014BCF36">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ascii="黑体" w:hAnsi="黑体" w:eastAsia="黑体" w:cs="黑体"/>
              <w:snapToGrid w:val="0"/>
              <w:color w:val="000000"/>
              <w:sz w:val="21"/>
              <w:szCs w:val="24"/>
              <w:lang w:val="en-US" w:eastAsia="zh-CN" w:bidi="ar-SA"/>
            </w:rPr>
          </w:pPr>
          <w:r>
            <w:rPr>
              <w:rFonts w:hint="eastAsia" w:ascii="宋体" w:hAnsi="宋体" w:eastAsia="宋体" w:cs="宋体"/>
              <w:sz w:val="32"/>
              <w:szCs w:val="32"/>
              <w:lang w:eastAsia="zh-CN"/>
            </w:rPr>
            <w:fldChar w:fldCharType="end"/>
          </w:r>
        </w:p>
      </w:sdtContent>
    </w:sdt>
    <w:p w14:paraId="72065E18">
      <w:pPr>
        <w:spacing w:line="221" w:lineRule="auto"/>
        <w:rPr>
          <w:rFonts w:ascii="黑体" w:hAnsi="黑体" w:eastAsia="黑体" w:cs="黑体"/>
          <w:snapToGrid w:val="0"/>
          <w:color w:val="000000"/>
          <w:sz w:val="21"/>
          <w:szCs w:val="24"/>
          <w:lang w:val="en-US" w:eastAsia="zh-CN" w:bidi="ar-SA"/>
        </w:rPr>
        <w:sectPr>
          <w:pgSz w:w="11922" w:h="16839"/>
          <w:pgMar w:top="1134" w:right="1134" w:bottom="1134" w:left="1134" w:header="1134" w:footer="1134" w:gutter="0"/>
          <w:pgNumType w:start="1"/>
          <w:cols w:space="720" w:num="1"/>
          <w:docGrid w:linePitch="286" w:charSpace="0"/>
        </w:sectPr>
      </w:pPr>
    </w:p>
    <w:p w14:paraId="1D31EC06">
      <w:pPr>
        <w:pStyle w:val="2"/>
        <w:bidi w:val="0"/>
        <w:rPr>
          <w:lang w:eastAsia="zh-CN"/>
        </w:rPr>
      </w:pPr>
      <w:bookmarkStart w:id="0" w:name="bookmark1"/>
      <w:bookmarkEnd w:id="0"/>
      <w:bookmarkStart w:id="1" w:name="_Toc4518"/>
      <w:r>
        <w:rPr>
          <w:lang w:eastAsia="zh-CN"/>
        </w:rPr>
        <w:t>第一章 征集公告</w:t>
      </w:r>
      <w:bookmarkEnd w:id="1"/>
    </w:p>
    <w:p w14:paraId="56D10924">
      <w:pPr>
        <w:keepNext w:val="0"/>
        <w:keepLines w:val="0"/>
        <w:pageBreakBefore w:val="0"/>
        <w:widowControl w:val="0"/>
        <w:kinsoku/>
        <w:wordWrap w:val="0"/>
        <w:overflowPunct/>
        <w:topLinePunct w:val="0"/>
        <w:autoSpaceDE/>
        <w:autoSpaceDN/>
        <w:bidi w:val="0"/>
        <w:adjustRightInd w:val="0"/>
        <w:snapToGrid w:val="0"/>
        <w:spacing w:before="60" w:after="60" w:line="450" w:lineRule="atLeast"/>
        <w:ind w:firstLine="480" w:firstLineChars="200"/>
        <w:textAlignment w:val="auto"/>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z w:val="24"/>
          <w:szCs w:val="24"/>
          <w:highlight w:val="none"/>
          <w:lang w:val="en-US" w:eastAsia="zh-CN"/>
        </w:rPr>
        <w:t>济宁高新社发投资集团有限公司招标代理服务机构框架协议采购项目的潜</w:t>
      </w:r>
      <w:r>
        <w:rPr>
          <w:rFonts w:hint="eastAsia" w:ascii="宋体" w:hAnsi="宋体" w:eastAsia="宋体" w:cs="宋体"/>
          <w:color w:val="auto"/>
          <w:sz w:val="24"/>
          <w:szCs w:val="24"/>
          <w:highlight w:val="none"/>
          <w:u w:val="none"/>
          <w:lang w:eastAsia="zh-CN"/>
        </w:rPr>
        <w:t>在</w:t>
      </w:r>
      <w:r>
        <w:rPr>
          <w:rFonts w:hint="eastAsia" w:ascii="宋体" w:hAnsi="宋体" w:eastAsia="宋体" w:cs="宋体"/>
          <w:color w:val="auto"/>
          <w:sz w:val="24"/>
          <w:szCs w:val="24"/>
          <w:highlight w:val="none"/>
          <w:u w:val="none"/>
          <w:lang w:val="en-US" w:eastAsia="zh-CN"/>
        </w:rPr>
        <w:t>供应商</w:t>
      </w:r>
      <w:r>
        <w:rPr>
          <w:rFonts w:hint="eastAsia" w:ascii="宋体" w:hAnsi="宋体" w:eastAsia="宋体" w:cs="宋体"/>
          <w:color w:val="auto"/>
          <w:sz w:val="24"/>
          <w:szCs w:val="24"/>
          <w:highlight w:val="none"/>
          <w:u w:val="none"/>
          <w:lang w:eastAsia="zh-CN"/>
        </w:rPr>
        <w:t>应在</w:t>
      </w:r>
      <w:r>
        <w:rPr>
          <w:rFonts w:hint="eastAsia" w:ascii="宋体" w:hAnsi="宋体" w:eastAsia="宋体" w:cs="宋体"/>
          <w:color w:val="auto"/>
          <w:spacing w:val="-1"/>
          <w:sz w:val="24"/>
          <w:szCs w:val="24"/>
          <w:highlight w:val="none"/>
          <w:lang w:eastAsia="zh-CN"/>
        </w:rPr>
        <w:t>济宁高新社发投资集团有限公司</w:t>
      </w:r>
      <w:r>
        <w:rPr>
          <w:rFonts w:hint="eastAsia" w:ascii="宋体" w:hAnsi="宋体" w:eastAsia="宋体" w:cs="宋体"/>
          <w:color w:val="auto"/>
          <w:sz w:val="24"/>
          <w:szCs w:val="24"/>
          <w:highlight w:val="none"/>
          <w:lang w:eastAsia="zh-CN"/>
        </w:rPr>
        <w:t>获取</w:t>
      </w:r>
      <w:r>
        <w:rPr>
          <w:rFonts w:hint="eastAsia" w:ascii="宋体" w:hAnsi="宋体" w:eastAsia="宋体" w:cs="宋体"/>
          <w:color w:val="auto"/>
          <w:sz w:val="24"/>
          <w:szCs w:val="24"/>
          <w:highlight w:val="none"/>
          <w:lang w:val="en-US" w:eastAsia="zh-CN"/>
        </w:rPr>
        <w:t>征集</w:t>
      </w:r>
      <w:r>
        <w:rPr>
          <w:rFonts w:hint="eastAsia" w:ascii="宋体" w:hAnsi="宋体" w:eastAsia="宋体" w:cs="宋体"/>
          <w:color w:val="auto"/>
          <w:sz w:val="24"/>
          <w:szCs w:val="24"/>
          <w:highlight w:val="none"/>
          <w:lang w:eastAsia="zh-CN"/>
        </w:rPr>
        <w:t>文件，并于</w:t>
      </w:r>
      <w:r>
        <w:rPr>
          <w:rFonts w:hint="eastAsia" w:ascii="宋体" w:hAnsi="宋体" w:eastAsia="宋体" w:cs="宋体"/>
          <w:color w:val="auto"/>
          <w:sz w:val="24"/>
          <w:szCs w:val="24"/>
          <w:highlight w:val="none"/>
          <w:u w:val="none"/>
          <w:lang w:val="en-US" w:eastAsia="zh-CN"/>
        </w:rPr>
        <w:t>2025年11月11日09点00分</w:t>
      </w:r>
      <w:r>
        <w:rPr>
          <w:rFonts w:hint="eastAsia" w:ascii="宋体" w:hAnsi="宋体" w:eastAsia="宋体" w:cs="宋体"/>
          <w:color w:val="auto"/>
          <w:sz w:val="24"/>
          <w:szCs w:val="24"/>
          <w:highlight w:val="none"/>
          <w:lang w:eastAsia="zh-CN"/>
        </w:rPr>
        <w:t>（北京时间）</w:t>
      </w:r>
      <w:r>
        <w:rPr>
          <w:rFonts w:hint="eastAsia" w:ascii="宋体" w:hAnsi="宋体" w:eastAsia="宋体" w:cs="宋体"/>
          <w:bCs/>
          <w:color w:val="auto"/>
          <w:kern w:val="0"/>
          <w:sz w:val="24"/>
          <w:szCs w:val="24"/>
          <w:highlight w:val="none"/>
          <w:lang w:val="en-US" w:eastAsia="zh-CN"/>
        </w:rPr>
        <w:t>前递交响应文件</w:t>
      </w:r>
      <w:r>
        <w:rPr>
          <w:rFonts w:hint="eastAsia" w:ascii="宋体" w:hAnsi="宋体" w:eastAsia="宋体" w:cs="宋体"/>
          <w:color w:val="auto"/>
          <w:sz w:val="24"/>
          <w:szCs w:val="24"/>
          <w:highlight w:val="none"/>
          <w:lang w:eastAsia="zh-CN"/>
        </w:rPr>
        <w:t>。</w:t>
      </w:r>
    </w:p>
    <w:p w14:paraId="5446C81E">
      <w:pPr>
        <w:spacing w:line="360" w:lineRule="auto"/>
        <w:ind w:firstLine="472" w:firstLineChars="20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一、项目基本情况</w:t>
      </w:r>
    </w:p>
    <w:p w14:paraId="0E0CE7A2">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color w:val="auto"/>
          <w:spacing w:val="-1"/>
          <w:sz w:val="24"/>
          <w:szCs w:val="24"/>
          <w:highlight w:val="none"/>
          <w:lang w:eastAsia="zh-CN"/>
        </w:rPr>
        <w:t>1、项目名称：济宁高新社发投资集团有限公司招标代理服</w:t>
      </w:r>
      <w:r>
        <w:rPr>
          <w:rFonts w:hint="eastAsia" w:ascii="宋体" w:hAnsi="宋体" w:eastAsia="宋体" w:cs="宋体"/>
          <w:spacing w:val="-1"/>
          <w:sz w:val="24"/>
          <w:szCs w:val="24"/>
          <w:lang w:eastAsia="zh-CN"/>
        </w:rPr>
        <w:t>务机构框架协议采购项目</w:t>
      </w:r>
    </w:p>
    <w:p w14:paraId="75B14FEE">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2、采购方式：框架协议采购</w:t>
      </w:r>
    </w:p>
    <w:p w14:paraId="030EB948">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3、采购需求：中介服务机构需完成济宁高新社发投资集团有限公司及其下属各级公司委托的招标采购代理等工作。本项目采用框架协议采购方式面向社会公开征集，入围供应商上限</w:t>
      </w:r>
      <w:r>
        <w:rPr>
          <w:rFonts w:hint="eastAsia" w:ascii="宋体" w:hAnsi="宋体" w:eastAsia="宋体" w:cs="宋体"/>
          <w:spacing w:val="-1"/>
          <w:sz w:val="24"/>
          <w:szCs w:val="24"/>
          <w:highlight w:val="none"/>
          <w:lang w:eastAsia="zh-CN"/>
        </w:rPr>
        <w:t>为</w:t>
      </w:r>
      <w:r>
        <w:rPr>
          <w:rFonts w:hint="eastAsia" w:ascii="宋体" w:hAnsi="宋体" w:eastAsia="宋体" w:cs="宋体"/>
          <w:spacing w:val="-1"/>
          <w:sz w:val="24"/>
          <w:szCs w:val="24"/>
          <w:highlight w:val="none"/>
          <w:lang w:val="en-US" w:eastAsia="zh-CN"/>
        </w:rPr>
        <w:t>10</w:t>
      </w:r>
      <w:r>
        <w:rPr>
          <w:rFonts w:hint="eastAsia" w:ascii="宋体" w:hAnsi="宋体" w:eastAsia="宋体" w:cs="宋体"/>
          <w:spacing w:val="-1"/>
          <w:sz w:val="24"/>
          <w:szCs w:val="24"/>
          <w:lang w:eastAsia="zh-CN"/>
        </w:rPr>
        <w:t>家。具体要求详见征集文件。</w:t>
      </w:r>
    </w:p>
    <w:p w14:paraId="683F165D">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4、适用框架协议的征集人或者服务对象范围：济宁高新社发投资集团有限公司及其下属各级公司。</w:t>
      </w:r>
    </w:p>
    <w:p w14:paraId="4C9C0066">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5、框架协议期限：自框架协议签订之日</w:t>
      </w:r>
      <w:r>
        <w:rPr>
          <w:rFonts w:hint="eastAsia" w:ascii="宋体" w:hAnsi="宋体" w:eastAsia="宋体" w:cs="宋体"/>
          <w:spacing w:val="-1"/>
          <w:sz w:val="24"/>
          <w:szCs w:val="24"/>
          <w:highlight w:val="none"/>
          <w:lang w:eastAsia="zh-CN"/>
        </w:rPr>
        <w:t>起</w:t>
      </w:r>
      <w:r>
        <w:rPr>
          <w:rFonts w:hint="eastAsia" w:ascii="宋体" w:hAnsi="宋体" w:eastAsia="宋体" w:cs="宋体"/>
          <w:spacing w:val="-1"/>
          <w:sz w:val="24"/>
          <w:szCs w:val="24"/>
          <w:highlight w:val="none"/>
          <w:lang w:val="en-US" w:eastAsia="zh-CN"/>
        </w:rPr>
        <w:t>2</w:t>
      </w:r>
      <w:r>
        <w:rPr>
          <w:rFonts w:hint="eastAsia" w:ascii="宋体" w:hAnsi="宋体" w:eastAsia="宋体" w:cs="宋体"/>
          <w:spacing w:val="-1"/>
          <w:sz w:val="24"/>
          <w:szCs w:val="24"/>
          <w:highlight w:val="none"/>
          <w:lang w:eastAsia="zh-CN"/>
        </w:rPr>
        <w:t>年</w:t>
      </w:r>
      <w:r>
        <w:rPr>
          <w:rFonts w:hint="eastAsia" w:ascii="宋体" w:hAnsi="宋体" w:eastAsia="宋体" w:cs="宋体"/>
          <w:spacing w:val="-1"/>
          <w:sz w:val="24"/>
          <w:szCs w:val="24"/>
          <w:lang w:eastAsia="zh-CN"/>
        </w:rPr>
        <w:t>。</w:t>
      </w:r>
    </w:p>
    <w:p w14:paraId="444F4595">
      <w:pPr>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6、本项目不接受联合体。</w:t>
      </w:r>
    </w:p>
    <w:p w14:paraId="2522B45A">
      <w:pPr>
        <w:spacing w:line="360" w:lineRule="auto"/>
        <w:ind w:firstLine="472" w:firstLineChars="200"/>
        <w:outlineLvl w:val="1"/>
        <w:rPr>
          <w:rFonts w:hint="eastAsia" w:ascii="宋体" w:hAnsi="宋体" w:eastAsia="宋体" w:cs="宋体"/>
          <w:spacing w:val="-2"/>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spacing w:val="-2"/>
          <w:sz w:val="24"/>
          <w:szCs w:val="24"/>
          <w:lang w:eastAsia="zh-CN"/>
          <w14:textOutline w14:w="4356" w14:cap="sq" w14:cmpd="sng" w14:algn="ctr">
            <w14:solidFill>
              <w14:srgbClr w14:val="000000"/>
            </w14:solidFill>
            <w14:prstDash w14:val="solid"/>
            <w14:bevel/>
          </w14:textOutline>
        </w:rPr>
        <w:t>二、申请人的资格要求</w:t>
      </w:r>
    </w:p>
    <w:p w14:paraId="3E682D90">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lang w:eastAsia="zh-CN"/>
        </w:rPr>
        <w:t>1、在</w:t>
      </w:r>
      <w:r>
        <w:rPr>
          <w:rFonts w:hint="eastAsia" w:ascii="宋体" w:hAnsi="宋体" w:eastAsia="宋体" w:cs="宋体"/>
          <w:spacing w:val="-2"/>
          <w:sz w:val="24"/>
          <w:szCs w:val="24"/>
          <w:highlight w:val="none"/>
          <w:lang w:eastAsia="zh-CN"/>
        </w:rPr>
        <w:t>中国境内注册，具有独立承担民事责任的能力，</w:t>
      </w:r>
      <w:r>
        <w:rPr>
          <w:rFonts w:hint="eastAsia" w:ascii="宋体" w:hAnsi="宋体" w:eastAsia="宋体" w:cs="宋体"/>
          <w:spacing w:val="-1"/>
          <w:sz w:val="24"/>
          <w:szCs w:val="24"/>
          <w:highlight w:val="none"/>
          <w:lang w:eastAsia="zh-CN"/>
        </w:rPr>
        <w:t>具备有效的营业执照</w:t>
      </w:r>
      <w:r>
        <w:rPr>
          <w:rFonts w:hint="eastAsia" w:ascii="宋体" w:hAnsi="宋体" w:eastAsia="宋体" w:cs="宋体"/>
          <w:spacing w:val="-2"/>
          <w:sz w:val="24"/>
          <w:szCs w:val="24"/>
          <w:highlight w:val="none"/>
          <w:lang w:eastAsia="zh-CN"/>
        </w:rPr>
        <w:t>；</w:t>
      </w:r>
    </w:p>
    <w:p w14:paraId="03E9A8AD">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2、具有良好的商业信誉和健全的财务会计制度；</w:t>
      </w:r>
    </w:p>
    <w:p w14:paraId="0485D09A">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3、具有履行招标代理服务所必备的设备和专业技术能力。项目组人员配置人数不低于6人，项目负责人须具有有效的一级注册证书并具有中级及以上职称；项目组成员中（项目负责人除外）具备中级及以上职称的人员不低于3人，人员专业配置合理，具有相应资格、专业技术水平及从业经验。(以上人员必须为本单位在职人员，须提供人员证书、202</w:t>
      </w:r>
      <w:r>
        <w:rPr>
          <w:rFonts w:hint="eastAsia" w:ascii="宋体" w:hAnsi="宋体" w:eastAsia="宋体" w:cs="宋体"/>
          <w:spacing w:val="-2"/>
          <w:sz w:val="24"/>
          <w:szCs w:val="24"/>
          <w:highlight w:val="none"/>
          <w:lang w:val="en-US" w:eastAsia="zh-CN"/>
        </w:rPr>
        <w:t>4</w:t>
      </w:r>
      <w:r>
        <w:rPr>
          <w:rFonts w:hint="eastAsia" w:ascii="宋体" w:hAnsi="宋体" w:eastAsia="宋体" w:cs="宋体"/>
          <w:spacing w:val="-2"/>
          <w:sz w:val="24"/>
          <w:szCs w:val="24"/>
          <w:highlight w:val="none"/>
          <w:lang w:eastAsia="zh-CN"/>
        </w:rPr>
        <w:t>年1月1日以来至今连续缴纳社保的证明材料)；</w:t>
      </w:r>
    </w:p>
    <w:p w14:paraId="6F14698E">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4、有依法缴纳税收和社会保障资金的良好记录；</w:t>
      </w:r>
    </w:p>
    <w:p w14:paraId="0702D5B4">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5、参加本次采购活动前三年内，在经营活动中没有违规违法记录；开标之日起前三年内无不良信用记录（评审委员会通过“信用中国”及“信用山东”查询）；</w:t>
      </w:r>
    </w:p>
    <w:p w14:paraId="3EA17736">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6、具有单项合同中标金额不低于</w:t>
      </w:r>
      <w:r>
        <w:rPr>
          <w:rFonts w:hint="eastAsia" w:ascii="宋体" w:hAnsi="宋体" w:eastAsia="宋体" w:cs="宋体"/>
          <w:spacing w:val="-2"/>
          <w:sz w:val="24"/>
          <w:szCs w:val="24"/>
          <w:highlight w:val="none"/>
          <w:lang w:val="en-US" w:eastAsia="zh-CN"/>
        </w:rPr>
        <w:t>5000万</w:t>
      </w:r>
      <w:r>
        <w:rPr>
          <w:rFonts w:hint="eastAsia" w:ascii="宋体" w:hAnsi="宋体" w:eastAsia="宋体" w:cs="宋体"/>
          <w:spacing w:val="-2"/>
          <w:sz w:val="24"/>
          <w:szCs w:val="24"/>
          <w:highlight w:val="none"/>
          <w:lang w:eastAsia="zh-CN"/>
        </w:rPr>
        <w:t>元的工程招标代理业绩（业绩要求202</w:t>
      </w:r>
      <w:r>
        <w:rPr>
          <w:rFonts w:hint="eastAsia" w:ascii="宋体" w:hAnsi="宋体" w:eastAsia="宋体" w:cs="宋体"/>
          <w:spacing w:val="-2"/>
          <w:sz w:val="24"/>
          <w:szCs w:val="24"/>
          <w:highlight w:val="none"/>
          <w:lang w:val="en-US" w:eastAsia="zh-CN"/>
        </w:rPr>
        <w:t>2</w:t>
      </w:r>
      <w:r>
        <w:rPr>
          <w:rFonts w:hint="eastAsia" w:ascii="宋体" w:hAnsi="宋体" w:eastAsia="宋体" w:cs="宋体"/>
          <w:spacing w:val="-2"/>
          <w:sz w:val="24"/>
          <w:szCs w:val="24"/>
          <w:highlight w:val="none"/>
          <w:lang w:eastAsia="zh-CN"/>
        </w:rPr>
        <w:t>年1月1日以来的，时间以代理合同签订时间为准）；</w:t>
      </w:r>
    </w:p>
    <w:p w14:paraId="6D6612A7">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7、法律、行政法规规定的其他条件；</w:t>
      </w:r>
    </w:p>
    <w:p w14:paraId="1F3A282F">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8、入围供应商需按文件要求缴纳履约保证金。</w:t>
      </w:r>
    </w:p>
    <w:p w14:paraId="35D42C28">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14:textOutline w14:w="4356" w14:cap="sq" w14:cmpd="sng" w14:algn="ctr">
            <w14:solidFill>
              <w14:srgbClr w14:val="000000"/>
            </w14:solidFill>
            <w14:prstDash w14:val="solid"/>
            <w14:bevel/>
          </w14:textOutline>
        </w:rPr>
        <w:t>三、获取征集文件的时间和方式</w:t>
      </w:r>
    </w:p>
    <w:p w14:paraId="60B8C6E6">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1、时间：202</w:t>
      </w:r>
      <w:r>
        <w:rPr>
          <w:rFonts w:hint="eastAsia" w:ascii="宋体" w:hAnsi="宋体" w:eastAsia="宋体" w:cs="宋体"/>
          <w:spacing w:val="-4"/>
          <w:sz w:val="24"/>
          <w:szCs w:val="24"/>
          <w:lang w:val="en-US" w:eastAsia="zh-CN"/>
        </w:rPr>
        <w:t>5</w:t>
      </w:r>
      <w:r>
        <w:rPr>
          <w:rFonts w:hint="eastAsia" w:ascii="宋体" w:hAnsi="宋体" w:eastAsia="宋体" w:cs="宋体"/>
          <w:spacing w:val="-4"/>
          <w:sz w:val="24"/>
          <w:szCs w:val="24"/>
          <w:lang w:eastAsia="zh-CN"/>
        </w:rPr>
        <w:t>年</w:t>
      </w:r>
      <w:r>
        <w:rPr>
          <w:rFonts w:hint="eastAsia" w:ascii="宋体" w:hAnsi="宋体" w:eastAsia="宋体" w:cs="宋体"/>
          <w:spacing w:val="-4"/>
          <w:sz w:val="24"/>
          <w:szCs w:val="24"/>
          <w:lang w:val="en-US" w:eastAsia="zh-CN"/>
        </w:rPr>
        <w:t>10</w:t>
      </w:r>
      <w:r>
        <w:rPr>
          <w:rFonts w:hint="eastAsia" w:ascii="宋体" w:hAnsi="宋体" w:eastAsia="宋体" w:cs="宋体"/>
          <w:spacing w:val="-4"/>
          <w:sz w:val="24"/>
          <w:szCs w:val="24"/>
          <w:lang w:eastAsia="zh-CN"/>
        </w:rPr>
        <w:t>月</w:t>
      </w:r>
      <w:r>
        <w:rPr>
          <w:rFonts w:hint="eastAsia" w:ascii="宋体" w:hAnsi="宋体" w:eastAsia="宋体" w:cs="宋体"/>
          <w:spacing w:val="-4"/>
          <w:sz w:val="24"/>
          <w:szCs w:val="24"/>
          <w:lang w:val="en-US" w:eastAsia="zh-CN"/>
        </w:rPr>
        <w:t>30</w:t>
      </w:r>
      <w:r>
        <w:rPr>
          <w:rFonts w:hint="eastAsia" w:ascii="宋体" w:hAnsi="宋体" w:eastAsia="宋体" w:cs="宋体"/>
          <w:spacing w:val="-4"/>
          <w:sz w:val="24"/>
          <w:szCs w:val="24"/>
          <w:lang w:eastAsia="zh-CN"/>
        </w:rPr>
        <w:t>日至202</w:t>
      </w:r>
      <w:r>
        <w:rPr>
          <w:rFonts w:hint="eastAsia" w:ascii="宋体" w:hAnsi="宋体" w:eastAsia="宋体" w:cs="宋体"/>
          <w:spacing w:val="-4"/>
          <w:sz w:val="24"/>
          <w:szCs w:val="24"/>
          <w:lang w:val="en-US" w:eastAsia="zh-CN"/>
        </w:rPr>
        <w:t>5</w:t>
      </w:r>
      <w:r>
        <w:rPr>
          <w:rFonts w:hint="eastAsia" w:ascii="宋体" w:hAnsi="宋体" w:eastAsia="宋体" w:cs="宋体"/>
          <w:spacing w:val="-4"/>
          <w:sz w:val="24"/>
          <w:szCs w:val="24"/>
          <w:lang w:eastAsia="zh-CN"/>
        </w:rPr>
        <w:t>年</w:t>
      </w:r>
      <w:r>
        <w:rPr>
          <w:rFonts w:hint="eastAsia" w:ascii="宋体" w:hAnsi="宋体" w:eastAsia="宋体" w:cs="宋体"/>
          <w:spacing w:val="-4"/>
          <w:sz w:val="24"/>
          <w:szCs w:val="24"/>
          <w:lang w:val="en-US" w:eastAsia="zh-CN"/>
        </w:rPr>
        <w:t>11</w:t>
      </w:r>
      <w:r>
        <w:rPr>
          <w:rFonts w:hint="eastAsia" w:ascii="宋体" w:hAnsi="宋体" w:eastAsia="宋体" w:cs="宋体"/>
          <w:spacing w:val="-4"/>
          <w:sz w:val="24"/>
          <w:szCs w:val="24"/>
          <w:lang w:eastAsia="zh-CN"/>
        </w:rPr>
        <w:t>月</w:t>
      </w:r>
      <w:r>
        <w:rPr>
          <w:rFonts w:hint="eastAsia" w:ascii="宋体" w:hAnsi="宋体" w:eastAsia="宋体" w:cs="宋体"/>
          <w:spacing w:val="-4"/>
          <w:sz w:val="24"/>
          <w:szCs w:val="24"/>
          <w:lang w:val="en-US" w:eastAsia="zh-CN"/>
        </w:rPr>
        <w:t>5</w:t>
      </w:r>
      <w:r>
        <w:rPr>
          <w:rFonts w:hint="eastAsia" w:ascii="宋体" w:hAnsi="宋体" w:eastAsia="宋体" w:cs="宋体"/>
          <w:spacing w:val="-4"/>
          <w:sz w:val="24"/>
          <w:szCs w:val="24"/>
          <w:lang w:eastAsia="zh-CN"/>
        </w:rPr>
        <w:t>日1</w:t>
      </w:r>
      <w:r>
        <w:rPr>
          <w:rFonts w:hint="eastAsia" w:ascii="宋体" w:hAnsi="宋体" w:eastAsia="宋体" w:cs="宋体"/>
          <w:spacing w:val="-4"/>
          <w:sz w:val="24"/>
          <w:szCs w:val="24"/>
          <w:lang w:val="en-US" w:eastAsia="zh-CN"/>
        </w:rPr>
        <w:t>7</w:t>
      </w:r>
      <w:r>
        <w:rPr>
          <w:rFonts w:hint="eastAsia" w:ascii="宋体" w:hAnsi="宋体" w:eastAsia="宋体" w:cs="宋体"/>
          <w:spacing w:val="-4"/>
          <w:sz w:val="24"/>
          <w:szCs w:val="24"/>
          <w:lang w:eastAsia="zh-CN"/>
        </w:rPr>
        <w:t>时00分(北京时间)前。</w:t>
      </w:r>
    </w:p>
    <w:p w14:paraId="0B26535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64" w:firstLineChars="200"/>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2、获取文件方式：供</w:t>
      </w:r>
      <w:r>
        <w:rPr>
          <w:rFonts w:hint="eastAsia" w:ascii="宋体" w:hAnsi="宋体" w:eastAsia="宋体" w:cs="宋体"/>
          <w:color w:val="000000" w:themeColor="text1"/>
          <w:spacing w:val="-4"/>
          <w:sz w:val="24"/>
          <w:szCs w:val="24"/>
          <w:lang w:eastAsia="zh-CN"/>
          <w14:textFill>
            <w14:solidFill>
              <w14:schemeClr w14:val="tx1"/>
            </w14:solidFill>
          </w14:textFill>
        </w:rPr>
        <w:t>应商将营业执照及授权委托书原件扫描件发送至电子邮箱（邮箱：gxsftzjtxmb@163.com），资料接收后将征集文件回传至发送邮箱。</w:t>
      </w:r>
    </w:p>
    <w:p w14:paraId="05A44512">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textAlignment w:val="baseline"/>
        <w:rPr>
          <w:rFonts w:hint="eastAsia" w:ascii="宋体" w:hAnsi="宋体" w:eastAsia="宋体" w:cs="宋体"/>
          <w:spacing w:val="-5"/>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spacing w:val="-5"/>
          <w:sz w:val="24"/>
          <w:szCs w:val="24"/>
          <w:lang w:eastAsia="zh-CN"/>
          <w14:textOutline w14:w="4356" w14:cap="sq" w14:cmpd="sng" w14:algn="ctr">
            <w14:solidFill>
              <w14:srgbClr w14:val="000000"/>
            </w14:solidFill>
            <w14:prstDash w14:val="solid"/>
            <w14:bevel/>
          </w14:textOutline>
        </w:rPr>
        <w:t>四、递交纸质响应文件时间、地点及方式</w:t>
      </w:r>
    </w:p>
    <w:p w14:paraId="3E242292">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rPr>
          <w:rFonts w:hint="eastAsia" w:ascii="宋体" w:hAnsi="宋体" w:eastAsia="宋体" w:cs="宋体"/>
          <w:color w:val="000000" w:themeColor="text1"/>
          <w:spacing w:val="-4"/>
          <w:sz w:val="24"/>
          <w:szCs w:val="24"/>
          <w:lang w:eastAsia="zh-CN"/>
          <w14:textFill>
            <w14:solidFill>
              <w14:schemeClr w14:val="tx1"/>
            </w14:solidFill>
          </w14:textFill>
        </w:rPr>
      </w:pPr>
      <w:r>
        <w:rPr>
          <w:rFonts w:hint="eastAsia" w:ascii="宋体" w:hAnsi="宋体" w:eastAsia="宋体" w:cs="宋体"/>
          <w:spacing w:val="-4"/>
          <w:sz w:val="24"/>
          <w:szCs w:val="24"/>
          <w:lang w:eastAsia="zh-CN"/>
        </w:rPr>
        <w:t>时间</w:t>
      </w:r>
      <w:r>
        <w:rPr>
          <w:rFonts w:hint="eastAsia" w:ascii="宋体" w:hAnsi="宋体" w:eastAsia="宋体" w:cs="宋体"/>
          <w:color w:val="auto"/>
          <w:spacing w:val="-4"/>
          <w:sz w:val="24"/>
          <w:szCs w:val="24"/>
          <w:lang w:eastAsia="zh-CN"/>
        </w:rPr>
        <w:t>：</w:t>
      </w:r>
      <w:r>
        <w:rPr>
          <w:rFonts w:hint="eastAsia" w:ascii="宋体" w:hAnsi="宋体" w:eastAsia="宋体" w:cs="宋体"/>
          <w:color w:val="auto"/>
          <w:sz w:val="24"/>
          <w:szCs w:val="24"/>
          <w:highlight w:val="none"/>
          <w:u w:val="none"/>
          <w:lang w:val="en-US" w:eastAsia="zh-CN"/>
        </w:rPr>
        <w:t>2025年11月11日</w:t>
      </w:r>
      <w:r>
        <w:rPr>
          <w:rFonts w:hint="eastAsia" w:ascii="宋体" w:hAnsi="宋体" w:eastAsia="宋体" w:cs="宋体"/>
          <w:color w:val="auto"/>
          <w:spacing w:val="-4"/>
          <w:sz w:val="24"/>
          <w:szCs w:val="24"/>
          <w:lang w:eastAsia="zh-CN"/>
        </w:rPr>
        <w:t>9:</w:t>
      </w:r>
      <w:r>
        <w:rPr>
          <w:rFonts w:hint="eastAsia" w:ascii="宋体" w:hAnsi="宋体" w:eastAsia="宋体" w:cs="宋体"/>
          <w:color w:val="auto"/>
          <w:spacing w:val="-4"/>
          <w:sz w:val="24"/>
          <w:szCs w:val="24"/>
          <w:lang w:val="en-US" w:eastAsia="zh-CN"/>
        </w:rPr>
        <w:t>0</w:t>
      </w:r>
      <w:r>
        <w:rPr>
          <w:rFonts w:hint="eastAsia" w:ascii="宋体" w:hAnsi="宋体" w:eastAsia="宋体" w:cs="宋体"/>
          <w:color w:val="auto"/>
          <w:spacing w:val="-4"/>
          <w:sz w:val="24"/>
          <w:szCs w:val="24"/>
          <w:lang w:eastAsia="zh-CN"/>
        </w:rPr>
        <w:t>0--1</w:t>
      </w:r>
      <w:r>
        <w:rPr>
          <w:rFonts w:hint="eastAsia" w:ascii="宋体" w:hAnsi="宋体" w:eastAsia="宋体" w:cs="宋体"/>
          <w:color w:val="auto"/>
          <w:spacing w:val="-4"/>
          <w:sz w:val="24"/>
          <w:szCs w:val="24"/>
          <w:lang w:val="en-US" w:eastAsia="zh-CN"/>
        </w:rPr>
        <w:t>0</w:t>
      </w:r>
      <w:r>
        <w:rPr>
          <w:rFonts w:hint="eastAsia" w:ascii="宋体" w:hAnsi="宋体" w:eastAsia="宋体" w:cs="宋体"/>
          <w:color w:val="000000" w:themeColor="text1"/>
          <w:spacing w:val="-4"/>
          <w:sz w:val="24"/>
          <w:szCs w:val="24"/>
          <w:lang w:eastAsia="zh-CN"/>
          <w14:textFill>
            <w14:solidFill>
              <w14:schemeClr w14:val="tx1"/>
            </w14:solidFill>
          </w14:textFill>
        </w:rPr>
        <w:t>:00（北京时间）</w:t>
      </w:r>
    </w:p>
    <w:p w14:paraId="232676FC">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rPr>
          <w:rFonts w:hint="eastAsia" w:ascii="宋体" w:hAnsi="宋体" w:eastAsia="宋体" w:cs="宋体"/>
          <w:color w:val="000000" w:themeColor="text1"/>
          <w:spacing w:val="-4"/>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地点：</w:t>
      </w:r>
      <w:r>
        <w:rPr>
          <w:rFonts w:hint="eastAsia" w:ascii="宋体" w:hAnsi="宋体" w:eastAsia="宋体" w:cs="宋体"/>
          <w:color w:val="auto"/>
          <w:spacing w:val="-4"/>
          <w:sz w:val="24"/>
          <w:szCs w:val="24"/>
          <w:lang w:eastAsia="zh-CN"/>
        </w:rPr>
        <w:t>济宁高新区产学研基地H6二楼会议室</w:t>
      </w:r>
    </w:p>
    <w:p w14:paraId="60260152">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rPr>
          <w:rFonts w:hint="eastAsia" w:ascii="宋体" w:hAnsi="宋体" w:eastAsia="宋体" w:cs="宋体"/>
          <w:color w:val="000000" w:themeColor="text1"/>
          <w:spacing w:val="-4"/>
          <w:sz w:val="24"/>
          <w:szCs w:val="24"/>
          <w:lang w:eastAsia="zh-CN"/>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方式：现场递交</w:t>
      </w:r>
    </w:p>
    <w:p w14:paraId="2008260D">
      <w:pPr>
        <w:spacing w:line="360" w:lineRule="auto"/>
        <w:ind w:firstLine="472" w:firstLineChars="200"/>
        <w:outlineLvl w:val="1"/>
        <w:rPr>
          <w:rFonts w:hint="eastAsia" w:ascii="宋体" w:hAnsi="宋体" w:eastAsia="宋体" w:cs="宋体"/>
          <w:spacing w:val="-2"/>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spacing w:val="-2"/>
          <w:sz w:val="24"/>
          <w:szCs w:val="24"/>
          <w:lang w:eastAsia="zh-CN"/>
          <w14:textOutline w14:w="4356" w14:cap="sq" w14:cmpd="sng" w14:algn="ctr">
            <w14:solidFill>
              <w14:srgbClr w14:val="000000"/>
            </w14:solidFill>
            <w14:prstDash w14:val="solid"/>
            <w14:bevel/>
          </w14:textOutline>
        </w:rPr>
        <w:t>五、其他补充事宜</w:t>
      </w:r>
    </w:p>
    <w:p w14:paraId="73A0C195">
      <w:pPr>
        <w:spacing w:line="360" w:lineRule="auto"/>
        <w:ind w:firstLine="464" w:firstLineChars="200"/>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rPr>
        <w:t>本项目如有必要澄清和修改需要发布更正公告的，将在</w:t>
      </w:r>
      <w:r>
        <w:rPr>
          <w:rFonts w:hint="eastAsia" w:ascii="宋体" w:hAnsi="宋体" w:eastAsia="宋体" w:cs="宋体"/>
          <w:color w:val="auto"/>
          <w:spacing w:val="-4"/>
          <w:sz w:val="24"/>
          <w:szCs w:val="24"/>
          <w:lang w:eastAsia="zh-CN"/>
        </w:rPr>
        <w:t>济宁高新控股集团有限公司网站（http://www.jngxkgjt.com/）</w:t>
      </w:r>
      <w:r>
        <w:rPr>
          <w:rFonts w:hint="eastAsia" w:ascii="宋体" w:hAnsi="宋体" w:eastAsia="宋体" w:cs="宋体"/>
          <w:color w:val="auto"/>
          <w:spacing w:val="-4"/>
          <w:sz w:val="24"/>
          <w:szCs w:val="24"/>
        </w:rPr>
        <w:t>及时发布。</w:t>
      </w:r>
      <w:r>
        <w:rPr>
          <w:rFonts w:hint="eastAsia" w:ascii="宋体" w:hAnsi="宋体" w:eastAsia="宋体" w:cs="宋体"/>
          <w:color w:val="auto"/>
          <w:spacing w:val="-4"/>
          <w:sz w:val="24"/>
          <w:szCs w:val="24"/>
          <w:lang w:eastAsia="zh-CN"/>
        </w:rPr>
        <w:t>请各潜在供应商及时关注相关信息。更正公告一旦发布即视为以书面形式通知所有潜在供应商。</w:t>
      </w:r>
    </w:p>
    <w:p w14:paraId="16B27DF7">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14:textOutline w14:w="4356" w14:cap="sq" w14:cmpd="sng" w14:algn="ctr">
            <w14:solidFill>
              <w14:srgbClr w14:val="000000"/>
            </w14:solidFill>
            <w14:prstDash w14:val="solid"/>
            <w14:bevel/>
          </w14:textOutline>
        </w:rPr>
        <w:t>六、凡对本次采购提出询问，请按以下方式联系</w:t>
      </w:r>
    </w:p>
    <w:p w14:paraId="028ADA25">
      <w:pPr>
        <w:spacing w:line="360" w:lineRule="auto"/>
        <w:ind w:firstLine="464" w:firstLineChars="200"/>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lang w:eastAsia="zh-CN"/>
        </w:rPr>
        <w:t>征集人名称：济宁高新社发投资集团有限公司</w:t>
      </w:r>
    </w:p>
    <w:p w14:paraId="62507506">
      <w:pPr>
        <w:spacing w:line="360" w:lineRule="auto"/>
        <w:ind w:firstLine="464" w:firstLineChars="200"/>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lang w:eastAsia="zh-CN"/>
        </w:rPr>
        <w:t>地址：济宁高新区海川路东9号</w:t>
      </w:r>
      <w:r>
        <w:rPr>
          <w:rFonts w:hint="eastAsia" w:ascii="宋体" w:hAnsi="宋体" w:eastAsia="宋体" w:cs="宋体"/>
          <w:color w:val="auto"/>
          <w:spacing w:val="-4"/>
          <w:sz w:val="24"/>
          <w:szCs w:val="24"/>
          <w:lang w:val="en-US" w:eastAsia="zh-CN"/>
        </w:rPr>
        <w:t>H6</w:t>
      </w:r>
      <w:r>
        <w:rPr>
          <w:rFonts w:hint="eastAsia" w:ascii="宋体" w:hAnsi="宋体" w:eastAsia="宋体" w:cs="宋体"/>
          <w:color w:val="auto"/>
          <w:spacing w:val="-4"/>
          <w:sz w:val="24"/>
          <w:szCs w:val="24"/>
          <w:lang w:eastAsia="zh-CN"/>
        </w:rPr>
        <w:t>楼</w:t>
      </w:r>
    </w:p>
    <w:p w14:paraId="0053EE1A">
      <w:pPr>
        <w:spacing w:line="360" w:lineRule="auto"/>
        <w:ind w:firstLine="464" w:firstLineChars="200"/>
        <w:rPr>
          <w:rFonts w:hint="default"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eastAsia="zh-CN"/>
        </w:rPr>
        <w:t>联系人：</w:t>
      </w:r>
      <w:r>
        <w:rPr>
          <w:rFonts w:hint="eastAsia" w:ascii="宋体" w:hAnsi="宋体" w:eastAsia="宋体" w:cs="宋体"/>
          <w:color w:val="auto"/>
          <w:spacing w:val="-4"/>
          <w:sz w:val="24"/>
          <w:szCs w:val="24"/>
          <w:lang w:val="en-US" w:eastAsia="zh-CN"/>
        </w:rPr>
        <w:t xml:space="preserve"> 高经理</w:t>
      </w:r>
    </w:p>
    <w:p w14:paraId="33425DFE">
      <w:pPr>
        <w:spacing w:line="360" w:lineRule="auto"/>
        <w:ind w:firstLine="464" w:firstLineChars="200"/>
        <w:rPr>
          <w:rFonts w:hint="eastAsia" w:ascii="宋体" w:hAnsi="宋体" w:eastAsia="宋体" w:cs="宋体"/>
          <w:spacing w:val="-4"/>
          <w:sz w:val="24"/>
          <w:szCs w:val="24"/>
          <w:lang w:eastAsia="zh-CN"/>
        </w:rPr>
      </w:pPr>
      <w:r>
        <w:rPr>
          <w:rFonts w:hint="eastAsia" w:ascii="宋体" w:hAnsi="宋体" w:eastAsia="宋体" w:cs="宋体"/>
          <w:color w:val="auto"/>
          <w:spacing w:val="-4"/>
          <w:sz w:val="24"/>
          <w:szCs w:val="24"/>
          <w:lang w:eastAsia="zh-CN"/>
        </w:rPr>
        <w:t>联系电话：</w:t>
      </w:r>
      <w:r>
        <w:rPr>
          <w:rFonts w:hint="eastAsia" w:ascii="宋体" w:hAnsi="宋体" w:eastAsia="宋体" w:cs="宋体"/>
          <w:color w:val="auto"/>
          <w:spacing w:val="-4"/>
          <w:sz w:val="24"/>
          <w:szCs w:val="24"/>
          <w:lang w:val="en-US" w:eastAsia="zh-CN"/>
        </w:rPr>
        <w:t xml:space="preserve">18678811035 </w:t>
      </w:r>
    </w:p>
    <w:p w14:paraId="5044B9D6">
      <w:pPr>
        <w:spacing w:line="360" w:lineRule="auto"/>
        <w:ind w:firstLine="472" w:firstLineChars="200"/>
        <w:jc w:val="right"/>
        <w:rPr>
          <w:rFonts w:hint="eastAsia" w:ascii="宋体" w:hAnsi="宋体" w:eastAsia="宋体" w:cs="宋体"/>
          <w:spacing w:val="-2"/>
          <w:sz w:val="24"/>
          <w:szCs w:val="24"/>
          <w:lang w:eastAsia="zh-CN"/>
        </w:rPr>
      </w:pPr>
    </w:p>
    <w:p w14:paraId="76B59D3A">
      <w:pPr>
        <w:spacing w:line="360" w:lineRule="auto"/>
        <w:ind w:firstLine="472" w:firstLineChars="200"/>
        <w:jc w:val="right"/>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2025年</w:t>
      </w:r>
      <w:r>
        <w:rPr>
          <w:rFonts w:hint="eastAsia" w:ascii="宋体" w:hAnsi="宋体" w:eastAsia="宋体" w:cs="宋体"/>
          <w:spacing w:val="-2"/>
          <w:sz w:val="24"/>
          <w:szCs w:val="24"/>
          <w:lang w:val="en-US" w:eastAsia="zh-CN"/>
        </w:rPr>
        <w:t>10</w:t>
      </w:r>
      <w:r>
        <w:rPr>
          <w:rFonts w:hint="eastAsia" w:ascii="宋体" w:hAnsi="宋体" w:eastAsia="宋体" w:cs="宋体"/>
          <w:spacing w:val="-2"/>
          <w:sz w:val="24"/>
          <w:szCs w:val="24"/>
          <w:lang w:eastAsia="zh-CN"/>
        </w:rPr>
        <w:t>月</w:t>
      </w:r>
      <w:r>
        <w:rPr>
          <w:rFonts w:hint="eastAsia" w:ascii="宋体" w:hAnsi="宋体" w:eastAsia="宋体" w:cs="宋体"/>
          <w:spacing w:val="-2"/>
          <w:sz w:val="24"/>
          <w:szCs w:val="24"/>
          <w:lang w:val="en-US" w:eastAsia="zh-CN"/>
        </w:rPr>
        <w:t>30</w:t>
      </w:r>
      <w:r>
        <w:rPr>
          <w:rFonts w:hint="eastAsia" w:ascii="宋体" w:hAnsi="宋体" w:eastAsia="宋体" w:cs="宋体"/>
          <w:spacing w:val="-2"/>
          <w:sz w:val="24"/>
          <w:szCs w:val="24"/>
          <w:lang w:eastAsia="zh-CN"/>
        </w:rPr>
        <w:t>日</w:t>
      </w:r>
    </w:p>
    <w:p w14:paraId="525CD4EB">
      <w:pPr>
        <w:spacing w:line="360" w:lineRule="auto"/>
        <w:rPr>
          <w:rFonts w:hint="eastAsia" w:ascii="宋体" w:hAnsi="宋体" w:eastAsia="宋体" w:cs="宋体"/>
          <w:sz w:val="24"/>
          <w:szCs w:val="24"/>
          <w:lang w:eastAsia="zh-CN"/>
        </w:rPr>
        <w:sectPr>
          <w:pgSz w:w="11922" w:h="16839"/>
          <w:pgMar w:top="1134" w:right="1134" w:bottom="1134" w:left="1134" w:header="1134" w:footer="1134" w:gutter="0"/>
          <w:cols w:space="720" w:num="1"/>
          <w:docGrid w:linePitch="286" w:charSpace="0"/>
        </w:sectPr>
      </w:pPr>
    </w:p>
    <w:p w14:paraId="0A2381C4">
      <w:pPr>
        <w:pStyle w:val="2"/>
        <w:bidi w:val="0"/>
        <w:rPr>
          <w:rFonts w:hint="eastAsia"/>
          <w:lang w:eastAsia="zh-CN"/>
        </w:rPr>
      </w:pPr>
      <w:bookmarkStart w:id="2" w:name="bookmark2"/>
      <w:bookmarkEnd w:id="2"/>
      <w:bookmarkStart w:id="3" w:name="_Toc17661"/>
      <w:r>
        <w:rPr>
          <w:rFonts w:hint="eastAsia"/>
          <w:lang w:eastAsia="zh-CN"/>
        </w:rPr>
        <w:t>第二章 供应商须知及前附表</w:t>
      </w:r>
      <w:bookmarkEnd w:id="3"/>
    </w:p>
    <w:p w14:paraId="7F616682">
      <w:pPr>
        <w:spacing w:before="181" w:line="223" w:lineRule="auto"/>
        <w:jc w:val="center"/>
        <w:outlineLvl w:val="1"/>
        <w:rPr>
          <w:rFonts w:hint="eastAsia" w:ascii="宋体" w:hAnsi="宋体" w:eastAsia="宋体" w:cs="宋体"/>
          <w:spacing w:val="-2"/>
          <w:sz w:val="32"/>
          <w:szCs w:val="32"/>
          <w14:textOutline w14:w="5105" w14:cap="sq" w14:cmpd="sng" w14:algn="ctr">
            <w14:solidFill>
              <w14:srgbClr w14:val="000000"/>
            </w14:solidFill>
            <w14:prstDash w14:val="solid"/>
            <w14:bevel/>
          </w14:textOutline>
        </w:rPr>
      </w:pPr>
      <w:r>
        <w:rPr>
          <w:rFonts w:hint="eastAsia" w:ascii="宋体" w:hAnsi="宋体" w:eastAsia="宋体" w:cs="宋体"/>
          <w:spacing w:val="-2"/>
          <w:sz w:val="32"/>
          <w:szCs w:val="32"/>
          <w14:textOutline w14:w="5105" w14:cap="sq" w14:cmpd="sng" w14:algn="ctr">
            <w14:solidFill>
              <w14:srgbClr w14:val="000000"/>
            </w14:solidFill>
            <w14:prstDash w14:val="solid"/>
            <w14:bevel/>
          </w14:textOutline>
        </w:rPr>
        <w:t>供应商须知前附表</w:t>
      </w:r>
    </w:p>
    <w:p w14:paraId="27C39381">
      <w:pPr>
        <w:spacing w:line="134" w:lineRule="exact"/>
      </w:pPr>
    </w:p>
    <w:tbl>
      <w:tblPr>
        <w:tblStyle w:val="18"/>
        <w:tblW w:w="975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1743"/>
        <w:gridCol w:w="7325"/>
      </w:tblGrid>
      <w:tr w14:paraId="7C3D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vAlign w:val="center"/>
          </w:tcPr>
          <w:p w14:paraId="12A4CCD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pacing w:val="-1"/>
                <w:sz w:val="24"/>
                <w:szCs w:val="24"/>
                <w:lang w:eastAsia="zh-CN"/>
              </w:rPr>
            </w:pPr>
            <w:r>
              <w:rPr>
                <w:rFonts w:hint="eastAsia" w:ascii="宋体" w:hAnsi="宋体" w:eastAsia="宋体" w:cs="宋体"/>
                <w:b/>
                <w:color w:val="auto"/>
                <w:sz w:val="22"/>
                <w:szCs w:val="22"/>
                <w:highlight w:val="none"/>
                <w:lang w:val="en-US" w:eastAsia="zh-CN"/>
              </w:rPr>
              <w:t>序</w:t>
            </w:r>
            <w:r>
              <w:rPr>
                <w:rFonts w:hint="eastAsia" w:ascii="宋体" w:hAnsi="宋体" w:eastAsia="宋体" w:cs="宋体"/>
                <w:b/>
                <w:color w:val="auto"/>
                <w:sz w:val="22"/>
                <w:szCs w:val="22"/>
                <w:highlight w:val="none"/>
              </w:rPr>
              <w:t>号</w:t>
            </w:r>
          </w:p>
        </w:tc>
        <w:tc>
          <w:tcPr>
            <w:tcW w:w="1743" w:type="dxa"/>
            <w:vAlign w:val="center"/>
          </w:tcPr>
          <w:p w14:paraId="0CAFDFF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pacing w:val="-1"/>
                <w:sz w:val="24"/>
                <w:szCs w:val="24"/>
                <w:lang w:eastAsia="zh-CN"/>
              </w:rPr>
            </w:pPr>
            <w:r>
              <w:rPr>
                <w:rFonts w:hint="eastAsia" w:ascii="宋体" w:hAnsi="宋体" w:eastAsia="宋体" w:cs="宋体"/>
                <w:b/>
                <w:color w:val="auto"/>
                <w:sz w:val="22"/>
                <w:szCs w:val="22"/>
                <w:highlight w:val="none"/>
              </w:rPr>
              <w:t>项目</w:t>
            </w:r>
          </w:p>
        </w:tc>
        <w:tc>
          <w:tcPr>
            <w:tcW w:w="7325" w:type="dxa"/>
            <w:vAlign w:val="center"/>
          </w:tcPr>
          <w:p w14:paraId="686EA016">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pacing w:val="-1"/>
                <w:sz w:val="24"/>
                <w:szCs w:val="24"/>
                <w:lang w:eastAsia="zh-CN"/>
              </w:rPr>
            </w:pPr>
            <w:r>
              <w:rPr>
                <w:rFonts w:hint="eastAsia" w:ascii="宋体" w:hAnsi="宋体" w:eastAsia="宋体" w:cs="宋体"/>
                <w:b/>
                <w:color w:val="auto"/>
                <w:sz w:val="22"/>
                <w:szCs w:val="22"/>
                <w:highlight w:val="none"/>
              </w:rPr>
              <w:t>内   容</w:t>
            </w:r>
          </w:p>
        </w:tc>
      </w:tr>
      <w:tr w14:paraId="7DDF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vAlign w:val="center"/>
          </w:tcPr>
          <w:p w14:paraId="10FE5FB4">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w:t>
            </w:r>
          </w:p>
        </w:tc>
        <w:tc>
          <w:tcPr>
            <w:tcW w:w="1743" w:type="dxa"/>
            <w:vAlign w:val="center"/>
          </w:tcPr>
          <w:p w14:paraId="2762ABFF">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项目名称</w:t>
            </w:r>
          </w:p>
        </w:tc>
        <w:tc>
          <w:tcPr>
            <w:tcW w:w="7325" w:type="dxa"/>
            <w:vAlign w:val="center"/>
          </w:tcPr>
          <w:p w14:paraId="318E06BE">
            <w:pPr>
              <w:keepNext w:val="0"/>
              <w:keepLines w:val="0"/>
              <w:pageBreakBefore w:val="0"/>
              <w:wordWrap/>
              <w:overflowPunct/>
              <w:topLinePunct w:val="0"/>
              <w:bidi w:val="0"/>
              <w:snapToGrid w:val="0"/>
              <w:spacing w:line="360" w:lineRule="exact"/>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济宁高新社发投资集团有限公司招标代理服务机构框架协议采购项目</w:t>
            </w:r>
          </w:p>
        </w:tc>
      </w:tr>
      <w:tr w14:paraId="11AE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90" w:type="dxa"/>
            <w:vAlign w:val="center"/>
          </w:tcPr>
          <w:p w14:paraId="30274989">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w:t>
            </w:r>
          </w:p>
        </w:tc>
        <w:tc>
          <w:tcPr>
            <w:tcW w:w="1743" w:type="dxa"/>
            <w:vAlign w:val="center"/>
          </w:tcPr>
          <w:p w14:paraId="6D623694">
            <w:pPr>
              <w:keepNext w:val="0"/>
              <w:keepLines w:val="0"/>
              <w:pageBreakBefore w:val="0"/>
              <w:wordWrap/>
              <w:overflowPunct/>
              <w:topLinePunct w:val="0"/>
              <w:bidi w:val="0"/>
              <w:snapToGrid w:val="0"/>
              <w:spacing w:line="360" w:lineRule="exact"/>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征集人、联系人及联系电话</w:t>
            </w:r>
          </w:p>
        </w:tc>
        <w:tc>
          <w:tcPr>
            <w:tcW w:w="7325" w:type="dxa"/>
            <w:vAlign w:val="center"/>
          </w:tcPr>
          <w:p w14:paraId="04772BD5">
            <w:pPr>
              <w:keepNext w:val="0"/>
              <w:keepLines w:val="0"/>
              <w:pageBreakBefore w:val="0"/>
              <w:wordWrap/>
              <w:overflowPunct/>
              <w:topLinePunct w:val="0"/>
              <w:bidi w:val="0"/>
              <w:snapToGrid w:val="0"/>
              <w:spacing w:line="360" w:lineRule="exact"/>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征集人：济宁高新社发投资集团有限公司有限公司</w:t>
            </w:r>
          </w:p>
          <w:p w14:paraId="37822587">
            <w:pPr>
              <w:keepNext w:val="0"/>
              <w:keepLines w:val="0"/>
              <w:pageBreakBefore w:val="0"/>
              <w:wordWrap/>
              <w:overflowPunct/>
              <w:topLinePunct w:val="0"/>
              <w:bidi w:val="0"/>
              <w:snapToGrid w:val="0"/>
              <w:spacing w:line="360" w:lineRule="exact"/>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eastAsia="zh-CN"/>
              </w:rPr>
              <w:t>联系人：</w:t>
            </w:r>
            <w:r>
              <w:rPr>
                <w:rFonts w:hint="eastAsia" w:ascii="宋体" w:hAnsi="宋体" w:eastAsia="宋体" w:cs="宋体"/>
                <w:spacing w:val="-1"/>
                <w:sz w:val="24"/>
                <w:szCs w:val="24"/>
                <w:lang w:val="en-US" w:eastAsia="zh-CN"/>
              </w:rPr>
              <w:t>高经理</w:t>
            </w:r>
          </w:p>
          <w:p w14:paraId="179C5DDE">
            <w:pPr>
              <w:keepNext w:val="0"/>
              <w:keepLines w:val="0"/>
              <w:pageBreakBefore w:val="0"/>
              <w:wordWrap/>
              <w:overflowPunct/>
              <w:topLinePunct w:val="0"/>
              <w:bidi w:val="0"/>
              <w:snapToGrid w:val="0"/>
              <w:spacing w:line="360" w:lineRule="exact"/>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eastAsia="zh-CN"/>
              </w:rPr>
              <w:t>联系电话：</w:t>
            </w:r>
            <w:r>
              <w:rPr>
                <w:rFonts w:hint="eastAsia" w:ascii="宋体" w:hAnsi="宋体" w:eastAsia="宋体" w:cs="宋体"/>
                <w:spacing w:val="-1"/>
                <w:sz w:val="24"/>
                <w:szCs w:val="24"/>
                <w:lang w:val="en-US" w:eastAsia="zh-CN"/>
              </w:rPr>
              <w:t>18678811035</w:t>
            </w:r>
          </w:p>
        </w:tc>
      </w:tr>
      <w:tr w14:paraId="45F6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vAlign w:val="center"/>
          </w:tcPr>
          <w:p w14:paraId="07AC0315">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w:t>
            </w:r>
          </w:p>
        </w:tc>
        <w:tc>
          <w:tcPr>
            <w:tcW w:w="1743" w:type="dxa"/>
            <w:vAlign w:val="center"/>
          </w:tcPr>
          <w:p w14:paraId="4F1ECE71">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采购内容</w:t>
            </w:r>
          </w:p>
        </w:tc>
        <w:tc>
          <w:tcPr>
            <w:tcW w:w="7325" w:type="dxa"/>
            <w:vAlign w:val="center"/>
          </w:tcPr>
          <w:p w14:paraId="49D0C7B6">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中介服务机构需完成济宁高新社发投资集团有限公司有限公司及其下属各级公司委托的招标采购代理等工作。本项目采用框架协议采购方式面向社会公开征集，入围供应商上限为10家。具体要求详见征集文件。</w:t>
            </w:r>
          </w:p>
        </w:tc>
      </w:tr>
      <w:tr w14:paraId="65B5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vAlign w:val="center"/>
          </w:tcPr>
          <w:p w14:paraId="6F2B57C7">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w:t>
            </w:r>
          </w:p>
        </w:tc>
        <w:tc>
          <w:tcPr>
            <w:tcW w:w="1743" w:type="dxa"/>
            <w:vAlign w:val="center"/>
          </w:tcPr>
          <w:p w14:paraId="789BD707">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采购方式</w:t>
            </w:r>
          </w:p>
        </w:tc>
        <w:tc>
          <w:tcPr>
            <w:tcW w:w="7325" w:type="dxa"/>
            <w:vAlign w:val="center"/>
          </w:tcPr>
          <w:p w14:paraId="342CB22E">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框架协议采购</w:t>
            </w:r>
          </w:p>
        </w:tc>
      </w:tr>
      <w:tr w14:paraId="52B7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vAlign w:val="center"/>
          </w:tcPr>
          <w:p w14:paraId="56E02E4F">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w:t>
            </w:r>
          </w:p>
        </w:tc>
        <w:tc>
          <w:tcPr>
            <w:tcW w:w="1743" w:type="dxa"/>
            <w:vAlign w:val="center"/>
          </w:tcPr>
          <w:p w14:paraId="315195AF">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报价要求</w:t>
            </w:r>
          </w:p>
        </w:tc>
        <w:tc>
          <w:tcPr>
            <w:tcW w:w="7325" w:type="dxa"/>
            <w:vAlign w:val="center"/>
          </w:tcPr>
          <w:p w14:paraId="74E457A9">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本项目为封闭式框架协议第一阶段征集，第一阶段不设置最高限价，供应商无需填写响应报价，响应报价不参与评审，经评审小组按照本项目评分标准确定入围供应商后，在框架协议期内由征集人按本项目确定第二阶段成交供应商的方式进行委托。</w:t>
            </w:r>
          </w:p>
        </w:tc>
      </w:tr>
      <w:tr w14:paraId="38E4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vAlign w:val="center"/>
          </w:tcPr>
          <w:p w14:paraId="0B36483A">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6</w:t>
            </w:r>
          </w:p>
        </w:tc>
        <w:tc>
          <w:tcPr>
            <w:tcW w:w="1743" w:type="dxa"/>
            <w:vAlign w:val="center"/>
          </w:tcPr>
          <w:p w14:paraId="1A6C0BCD">
            <w:pPr>
              <w:keepNext w:val="0"/>
              <w:keepLines w:val="0"/>
              <w:pageBreakBefore w:val="0"/>
              <w:wordWrap/>
              <w:overflowPunct/>
              <w:topLinePunct w:val="0"/>
              <w:bidi w:val="0"/>
              <w:snapToGrid w:val="0"/>
              <w:spacing w:line="360" w:lineRule="exact"/>
              <w:ind w:firstLine="238" w:firstLineChars="100"/>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履约保证金</w:t>
            </w:r>
          </w:p>
        </w:tc>
        <w:tc>
          <w:tcPr>
            <w:tcW w:w="7325" w:type="dxa"/>
            <w:vAlign w:val="center"/>
          </w:tcPr>
          <w:p w14:paraId="5B65793D">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金额：</w:t>
            </w:r>
            <w:r>
              <w:rPr>
                <w:rFonts w:hint="eastAsia" w:ascii="宋体" w:hAnsi="宋体" w:eastAsia="宋体" w:cs="宋体"/>
                <w:spacing w:val="-1"/>
                <w:sz w:val="24"/>
                <w:szCs w:val="24"/>
                <w:lang w:val="en-US" w:eastAsia="zh-CN"/>
              </w:rPr>
              <w:t>50</w:t>
            </w:r>
            <w:r>
              <w:rPr>
                <w:rFonts w:hint="eastAsia" w:ascii="宋体" w:hAnsi="宋体" w:eastAsia="宋体" w:cs="宋体"/>
                <w:spacing w:val="-1"/>
                <w:sz w:val="24"/>
                <w:szCs w:val="24"/>
                <w:lang w:eastAsia="zh-CN"/>
              </w:rPr>
              <w:t>万元</w:t>
            </w:r>
          </w:p>
          <w:p w14:paraId="70280221">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交纳方式：在签订框架协议前，以现金形式交纳至甲方指定的第三方专款账户。</w:t>
            </w:r>
          </w:p>
          <w:p w14:paraId="2166C9BF">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退还时间：签订框架协议1年后，供应商可根据自身情况申请退还履约保证金。</w:t>
            </w:r>
          </w:p>
        </w:tc>
      </w:tr>
      <w:tr w14:paraId="3D91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690" w:type="dxa"/>
            <w:vAlign w:val="center"/>
          </w:tcPr>
          <w:p w14:paraId="17F4C866">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7</w:t>
            </w:r>
          </w:p>
        </w:tc>
        <w:tc>
          <w:tcPr>
            <w:tcW w:w="1743" w:type="dxa"/>
            <w:vAlign w:val="center"/>
          </w:tcPr>
          <w:p w14:paraId="0C01BB1F">
            <w:pPr>
              <w:keepNext w:val="0"/>
              <w:keepLines w:val="0"/>
              <w:pageBreakBefore w:val="0"/>
              <w:wordWrap/>
              <w:overflowPunct/>
              <w:topLinePunct w:val="0"/>
              <w:bidi w:val="0"/>
              <w:snapToGrid w:val="0"/>
              <w:spacing w:line="360" w:lineRule="exact"/>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响应文件有效期</w:t>
            </w:r>
          </w:p>
        </w:tc>
        <w:tc>
          <w:tcPr>
            <w:tcW w:w="7325" w:type="dxa"/>
            <w:vAlign w:val="center"/>
          </w:tcPr>
          <w:p w14:paraId="3C1AE628">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90日历天（自报价截止之日起）</w:t>
            </w:r>
          </w:p>
        </w:tc>
      </w:tr>
      <w:tr w14:paraId="7075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vAlign w:val="center"/>
          </w:tcPr>
          <w:p w14:paraId="2DD25C52">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8</w:t>
            </w:r>
          </w:p>
        </w:tc>
        <w:tc>
          <w:tcPr>
            <w:tcW w:w="1743" w:type="dxa"/>
            <w:vAlign w:val="center"/>
          </w:tcPr>
          <w:p w14:paraId="542CD160">
            <w:pPr>
              <w:keepNext w:val="0"/>
              <w:keepLines w:val="0"/>
              <w:pageBreakBefore w:val="0"/>
              <w:wordWrap/>
              <w:overflowPunct/>
              <w:topLinePunct w:val="0"/>
              <w:bidi w:val="0"/>
              <w:snapToGrid w:val="0"/>
              <w:spacing w:line="360" w:lineRule="exact"/>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付款方式</w:t>
            </w:r>
          </w:p>
        </w:tc>
        <w:tc>
          <w:tcPr>
            <w:tcW w:w="7325" w:type="dxa"/>
            <w:vAlign w:val="center"/>
          </w:tcPr>
          <w:p w14:paraId="461E9E66">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执行招标代理合同（协议）</w:t>
            </w:r>
          </w:p>
        </w:tc>
      </w:tr>
      <w:tr w14:paraId="584B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vAlign w:val="center"/>
          </w:tcPr>
          <w:p w14:paraId="1069F10A">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9</w:t>
            </w:r>
          </w:p>
        </w:tc>
        <w:tc>
          <w:tcPr>
            <w:tcW w:w="1743" w:type="dxa"/>
            <w:vAlign w:val="center"/>
          </w:tcPr>
          <w:p w14:paraId="38CEA492">
            <w:pPr>
              <w:keepNext w:val="0"/>
              <w:keepLines w:val="0"/>
              <w:pageBreakBefore w:val="0"/>
              <w:wordWrap/>
              <w:overflowPunct/>
              <w:topLinePunct w:val="0"/>
              <w:bidi w:val="0"/>
              <w:snapToGrid w:val="0"/>
              <w:spacing w:line="360" w:lineRule="exact"/>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框架协议期限</w:t>
            </w:r>
          </w:p>
        </w:tc>
        <w:tc>
          <w:tcPr>
            <w:tcW w:w="7325" w:type="dxa"/>
            <w:vAlign w:val="center"/>
          </w:tcPr>
          <w:p w14:paraId="022E2EC8">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自双方签订框架协议并生效之日起2年（框架协议的具体起止时间以框架协议约定为准），在服务期内，征集人可根据入围供应商的考核情况决定合同的存续，如入围供应商发生违法违规、未按照征集人要求提供服务等情况，征集人有权且无责取消其入围供应商资格。</w:t>
            </w:r>
          </w:p>
        </w:tc>
      </w:tr>
      <w:tr w14:paraId="4018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vAlign w:val="center"/>
          </w:tcPr>
          <w:p w14:paraId="10ECF771">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10</w:t>
            </w:r>
          </w:p>
        </w:tc>
        <w:tc>
          <w:tcPr>
            <w:tcW w:w="1743" w:type="dxa"/>
            <w:vAlign w:val="center"/>
          </w:tcPr>
          <w:p w14:paraId="6BD909EF">
            <w:pPr>
              <w:keepNext w:val="0"/>
              <w:keepLines w:val="0"/>
              <w:pageBreakBefore w:val="0"/>
              <w:wordWrap/>
              <w:overflowPunct/>
              <w:topLinePunct w:val="0"/>
              <w:bidi w:val="0"/>
              <w:snapToGrid w:val="0"/>
              <w:spacing w:line="360" w:lineRule="exact"/>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质量要求</w:t>
            </w:r>
          </w:p>
        </w:tc>
        <w:tc>
          <w:tcPr>
            <w:tcW w:w="7325" w:type="dxa"/>
            <w:vAlign w:val="center"/>
          </w:tcPr>
          <w:p w14:paraId="2903AFF3">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符合国家、山东省、济宁市规定的合格标准。</w:t>
            </w:r>
          </w:p>
        </w:tc>
      </w:tr>
      <w:tr w14:paraId="6881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vAlign w:val="center"/>
          </w:tcPr>
          <w:p w14:paraId="7F9E3911">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11</w:t>
            </w:r>
          </w:p>
        </w:tc>
        <w:tc>
          <w:tcPr>
            <w:tcW w:w="1743" w:type="dxa"/>
            <w:vAlign w:val="center"/>
          </w:tcPr>
          <w:p w14:paraId="71D36B37">
            <w:pPr>
              <w:keepNext w:val="0"/>
              <w:keepLines w:val="0"/>
              <w:pageBreakBefore w:val="0"/>
              <w:wordWrap/>
              <w:overflowPunct/>
              <w:topLinePunct w:val="0"/>
              <w:bidi w:val="0"/>
              <w:snapToGrid w:val="0"/>
              <w:spacing w:line="360" w:lineRule="exact"/>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申请人资格要求</w:t>
            </w:r>
          </w:p>
        </w:tc>
        <w:tc>
          <w:tcPr>
            <w:tcW w:w="7325" w:type="dxa"/>
            <w:vAlign w:val="center"/>
          </w:tcPr>
          <w:p w14:paraId="0928F0F1">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见征集公告“二、申请人的资格要求”</w:t>
            </w:r>
          </w:p>
        </w:tc>
      </w:tr>
      <w:tr w14:paraId="3A16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90" w:type="dxa"/>
            <w:vAlign w:val="center"/>
          </w:tcPr>
          <w:p w14:paraId="47513236">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12</w:t>
            </w:r>
          </w:p>
        </w:tc>
        <w:tc>
          <w:tcPr>
            <w:tcW w:w="1743" w:type="dxa"/>
            <w:vAlign w:val="center"/>
          </w:tcPr>
          <w:p w14:paraId="2C620B5A">
            <w:pPr>
              <w:keepNext w:val="0"/>
              <w:keepLines w:val="0"/>
              <w:pageBreakBefore w:val="0"/>
              <w:wordWrap/>
              <w:overflowPunct/>
              <w:topLinePunct w:val="0"/>
              <w:bidi w:val="0"/>
              <w:snapToGrid w:val="0"/>
              <w:spacing w:line="360" w:lineRule="exact"/>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供应商证件及业绩的提交</w:t>
            </w:r>
          </w:p>
        </w:tc>
        <w:tc>
          <w:tcPr>
            <w:tcW w:w="7325" w:type="dxa"/>
            <w:vAlign w:val="center"/>
          </w:tcPr>
          <w:p w14:paraId="2E1E82A9">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本项目为资格后审，供应商响应文件中需包含以下内容原件扫描件,不提供或缺项提供的不予评审：</w:t>
            </w:r>
          </w:p>
          <w:p w14:paraId="191E975F">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①有效的营业执照；②供应商缴纳税收和社会保障资金等证明告知承诺书；③项目团队人员组成（包含人员证书、社保缴纳证明材料）；④招标代理业绩（提供委托代理合同、中标通知书、公共资源交易网发布的公告或公示网页截图并提供网址链接）</w:t>
            </w:r>
          </w:p>
          <w:p w14:paraId="48F23094">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备注：</w:t>
            </w:r>
          </w:p>
          <w:p w14:paraId="1232E40B">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（1）供应商必须按照上述要求提供相应的证件的原件扫描件，否则将作为无效报价处理；</w:t>
            </w:r>
          </w:p>
          <w:p w14:paraId="02375CD0">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（2）供应商响应文件中还应包含评分标准中需要评审委员会验证审核的所有资料原件或电子证书打印件（打印件上注明查询网址）的扫描件，以上资料均应编辑于响应文件中，无需单独提供资格证件资料原件。</w:t>
            </w:r>
          </w:p>
        </w:tc>
      </w:tr>
      <w:tr w14:paraId="388E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vAlign w:val="center"/>
          </w:tcPr>
          <w:p w14:paraId="7C9E7BC9">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13</w:t>
            </w:r>
          </w:p>
        </w:tc>
        <w:tc>
          <w:tcPr>
            <w:tcW w:w="1743" w:type="dxa"/>
            <w:vAlign w:val="center"/>
          </w:tcPr>
          <w:p w14:paraId="75ED6A40">
            <w:pPr>
              <w:pStyle w:val="20"/>
              <w:keepNext w:val="0"/>
              <w:keepLines w:val="0"/>
              <w:pageBreakBefore w:val="0"/>
              <w:widowControl w:val="0"/>
              <w:kinsoku/>
              <w:wordWrap/>
              <w:overflowPunct/>
              <w:topLinePunct w:val="0"/>
              <w:autoSpaceDE/>
              <w:autoSpaceDN/>
              <w:bidi w:val="0"/>
              <w:adjustRightInd/>
              <w:snapToGrid w:val="0"/>
              <w:spacing w:before="40" w:after="40" w:line="320" w:lineRule="atLeast"/>
              <w:ind w:left="0" w:leftChars="0"/>
              <w:jc w:val="center"/>
              <w:textAlignment w:val="auto"/>
              <w:rPr>
                <w:rFonts w:hint="eastAsia"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zh-CN" w:bidi="ar-SA"/>
              </w:rPr>
              <w:t>信用信息</w:t>
            </w:r>
          </w:p>
          <w:p w14:paraId="281AE396">
            <w:pPr>
              <w:pStyle w:val="20"/>
              <w:keepNext w:val="0"/>
              <w:keepLines w:val="0"/>
              <w:pageBreakBefore w:val="0"/>
              <w:widowControl w:val="0"/>
              <w:kinsoku/>
              <w:wordWrap/>
              <w:overflowPunct/>
              <w:topLinePunct w:val="0"/>
              <w:autoSpaceDE/>
              <w:autoSpaceDN/>
              <w:bidi w:val="0"/>
              <w:adjustRightInd/>
              <w:snapToGrid w:val="0"/>
              <w:spacing w:before="40" w:after="40" w:line="320" w:lineRule="atLeast"/>
              <w:ind w:left="0" w:leftChars="0"/>
              <w:jc w:val="center"/>
              <w:textAlignment w:val="auto"/>
              <w:rPr>
                <w:rFonts w:hint="eastAsia" w:ascii="宋体" w:hAnsi="宋体" w:eastAsia="宋体" w:cs="宋体"/>
                <w:spacing w:val="-1"/>
                <w:sz w:val="24"/>
                <w:szCs w:val="24"/>
                <w:lang w:eastAsia="zh-CN"/>
              </w:rPr>
            </w:pPr>
            <w:r>
              <w:rPr>
                <w:rFonts w:hint="eastAsia" w:ascii="宋体" w:hAnsi="宋体" w:eastAsia="宋体" w:cs="宋体"/>
                <w:snapToGrid w:val="0"/>
                <w:color w:val="000000"/>
                <w:spacing w:val="-1"/>
                <w:sz w:val="24"/>
                <w:szCs w:val="24"/>
                <w:lang w:val="en-US" w:eastAsia="zh-CN" w:bidi="ar-SA"/>
              </w:rPr>
              <w:t>查询及使用</w:t>
            </w:r>
          </w:p>
        </w:tc>
        <w:tc>
          <w:tcPr>
            <w:tcW w:w="7325" w:type="dxa"/>
            <w:vAlign w:val="center"/>
          </w:tcPr>
          <w:p w14:paraId="0C8E3C22">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1.信用信息查询渠道：中国政府采购网和信用中国。</w:t>
            </w:r>
          </w:p>
          <w:p w14:paraId="4156513A">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2.信用信息查询截止时点：提交响应文件截止及开启时间。</w:t>
            </w:r>
          </w:p>
          <w:p w14:paraId="5D082058">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信用信息查询记录和证据留存方式：评审小组通过信用信息查询渠道查询供应商的信用信息，并将所查询的网页、内容进行截图，以作证据留存，截图内容完整清晰，应包括网站网址、查询内容、电脑截屏时间。</w:t>
            </w:r>
          </w:p>
          <w:p w14:paraId="46CDAAED">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信用信息使用规则：评审小组对列入失信被执行人、重大税收违法案件当事人名单、政府采购严重违法失信行为记录名单及其他不符合《中华人民共和国政府采购法》第二十二条规定条件的供应商，拒绝其参与政府采购活动，其响应文件认定为响应文件无效。信用信息查询记录及相关证据将与本项目的其他文件一并保存。</w:t>
            </w:r>
          </w:p>
          <w:p w14:paraId="36ABE12F">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D006BCC">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注：无需供应商提供，信用信息由评审小组查询使用。</w:t>
            </w:r>
          </w:p>
        </w:tc>
      </w:tr>
      <w:tr w14:paraId="4D93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atLeast"/>
        </w:trPr>
        <w:tc>
          <w:tcPr>
            <w:tcW w:w="690" w:type="dxa"/>
            <w:vAlign w:val="center"/>
          </w:tcPr>
          <w:p w14:paraId="4BF0A7DE">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14</w:t>
            </w:r>
          </w:p>
        </w:tc>
        <w:tc>
          <w:tcPr>
            <w:tcW w:w="1743" w:type="dxa"/>
            <w:vAlign w:val="center"/>
          </w:tcPr>
          <w:p w14:paraId="54504D9B">
            <w:pPr>
              <w:keepNext w:val="0"/>
              <w:keepLines w:val="0"/>
              <w:pageBreakBefore w:val="0"/>
              <w:wordWrap/>
              <w:overflowPunct/>
              <w:topLinePunct w:val="0"/>
              <w:bidi w:val="0"/>
              <w:snapToGrid w:val="0"/>
              <w:spacing w:line="360" w:lineRule="exact"/>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响应文件份数</w:t>
            </w:r>
          </w:p>
        </w:tc>
        <w:tc>
          <w:tcPr>
            <w:tcW w:w="7325" w:type="dxa"/>
            <w:vAlign w:val="center"/>
          </w:tcPr>
          <w:p w14:paraId="5258C628">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纸质版响应文件：正本一份，副本</w:t>
            </w:r>
            <w:r>
              <w:rPr>
                <w:rFonts w:hint="eastAsia" w:ascii="宋体" w:hAnsi="宋体" w:eastAsia="宋体" w:cs="宋体"/>
                <w:spacing w:val="-1"/>
                <w:sz w:val="24"/>
                <w:szCs w:val="24"/>
                <w:lang w:val="en-US" w:eastAsia="zh-CN"/>
              </w:rPr>
              <w:t>肆</w:t>
            </w:r>
            <w:r>
              <w:rPr>
                <w:rFonts w:hint="eastAsia" w:ascii="宋体" w:hAnsi="宋体" w:eastAsia="宋体" w:cs="宋体"/>
                <w:spacing w:val="-1"/>
                <w:sz w:val="24"/>
                <w:szCs w:val="24"/>
                <w:lang w:eastAsia="zh-CN"/>
              </w:rPr>
              <w:t>份。</w:t>
            </w:r>
          </w:p>
          <w:p w14:paraId="17F6000D">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电子版响应文件：PDF签章版一份（以U盘形式递交）</w:t>
            </w:r>
          </w:p>
        </w:tc>
      </w:tr>
      <w:tr w14:paraId="7952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690" w:type="dxa"/>
            <w:vAlign w:val="center"/>
          </w:tcPr>
          <w:p w14:paraId="03410A9F">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15</w:t>
            </w:r>
          </w:p>
        </w:tc>
        <w:tc>
          <w:tcPr>
            <w:tcW w:w="1743" w:type="dxa"/>
            <w:vAlign w:val="center"/>
          </w:tcPr>
          <w:p w14:paraId="3CAADF93">
            <w:pPr>
              <w:keepNext w:val="0"/>
              <w:keepLines w:val="0"/>
              <w:pageBreakBefore w:val="0"/>
              <w:wordWrap/>
              <w:overflowPunct/>
              <w:topLinePunct w:val="0"/>
              <w:bidi w:val="0"/>
              <w:snapToGrid w:val="0"/>
              <w:spacing w:line="360" w:lineRule="exact"/>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签字或盖章要求</w:t>
            </w:r>
          </w:p>
        </w:tc>
        <w:tc>
          <w:tcPr>
            <w:tcW w:w="7325" w:type="dxa"/>
          </w:tcPr>
          <w:p w14:paraId="49563C42">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供应商的响应文件应按第六章“响应文件格式”要求进行签字或盖章，否则其响应文件作无效报价处理。</w:t>
            </w:r>
          </w:p>
        </w:tc>
      </w:tr>
      <w:tr w14:paraId="3AC9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vAlign w:val="center"/>
          </w:tcPr>
          <w:p w14:paraId="7CDA1B9F">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16</w:t>
            </w:r>
          </w:p>
        </w:tc>
        <w:tc>
          <w:tcPr>
            <w:tcW w:w="1743" w:type="dxa"/>
            <w:vAlign w:val="center"/>
          </w:tcPr>
          <w:p w14:paraId="55ADF1A3">
            <w:pPr>
              <w:keepNext w:val="0"/>
              <w:keepLines w:val="0"/>
              <w:pageBreakBefore w:val="0"/>
              <w:wordWrap/>
              <w:overflowPunct/>
              <w:topLinePunct w:val="0"/>
              <w:bidi w:val="0"/>
              <w:snapToGrid w:val="0"/>
              <w:spacing w:line="360" w:lineRule="exact"/>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纸质响应文件的密封</w:t>
            </w:r>
          </w:p>
        </w:tc>
        <w:tc>
          <w:tcPr>
            <w:tcW w:w="7325" w:type="dxa"/>
          </w:tcPr>
          <w:p w14:paraId="19F33F78">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1、密封套应标注采购项目、供应商名称等内容，密封套封口处应加盖供应商单位公章。</w:t>
            </w:r>
          </w:p>
          <w:p w14:paraId="5F0B65AB">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2、未按照上述要求</w:t>
            </w:r>
            <w:r>
              <w:rPr>
                <w:rFonts w:hint="eastAsia" w:ascii="宋体" w:hAnsi="宋体" w:eastAsia="宋体" w:cs="宋体"/>
                <w:spacing w:val="-1"/>
                <w:sz w:val="24"/>
                <w:szCs w:val="24"/>
                <w:lang w:val="en-US" w:eastAsia="zh-CN"/>
              </w:rPr>
              <w:t>标记、</w:t>
            </w:r>
            <w:r>
              <w:rPr>
                <w:rFonts w:hint="eastAsia" w:ascii="宋体" w:hAnsi="宋体" w:eastAsia="宋体" w:cs="宋体"/>
                <w:spacing w:val="-1"/>
                <w:sz w:val="24"/>
                <w:szCs w:val="24"/>
                <w:lang w:eastAsia="zh-CN"/>
              </w:rPr>
              <w:t>密封及在密封套标注的，其响应文件将被拒绝。</w:t>
            </w:r>
          </w:p>
        </w:tc>
      </w:tr>
      <w:tr w14:paraId="2D35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vAlign w:val="center"/>
          </w:tcPr>
          <w:p w14:paraId="7E8E3AF2">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17</w:t>
            </w:r>
          </w:p>
        </w:tc>
        <w:tc>
          <w:tcPr>
            <w:tcW w:w="1743" w:type="dxa"/>
            <w:vAlign w:val="center"/>
          </w:tcPr>
          <w:p w14:paraId="072073BF">
            <w:pPr>
              <w:keepNext w:val="0"/>
              <w:keepLines w:val="0"/>
              <w:pageBreakBefore w:val="0"/>
              <w:wordWrap/>
              <w:overflowPunct/>
              <w:topLinePunct w:val="0"/>
              <w:bidi w:val="0"/>
              <w:snapToGrid w:val="0"/>
              <w:spacing w:line="360" w:lineRule="exact"/>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递交响应文件时间、地点</w:t>
            </w:r>
          </w:p>
        </w:tc>
        <w:tc>
          <w:tcPr>
            <w:tcW w:w="7325" w:type="dxa"/>
            <w:vAlign w:val="center"/>
          </w:tcPr>
          <w:p w14:paraId="7F34D9DE">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时间</w:t>
            </w:r>
            <w:r>
              <w:rPr>
                <w:rFonts w:hint="eastAsia" w:ascii="宋体" w:hAnsi="宋体" w:eastAsia="宋体" w:cs="宋体"/>
                <w:color w:val="auto"/>
                <w:spacing w:val="-1"/>
                <w:sz w:val="24"/>
                <w:szCs w:val="24"/>
                <w:lang w:eastAsia="zh-CN"/>
              </w:rPr>
              <w:t>：</w:t>
            </w:r>
            <w:r>
              <w:rPr>
                <w:rFonts w:hint="eastAsia" w:ascii="宋体" w:hAnsi="宋体" w:eastAsia="宋体" w:cs="宋体"/>
                <w:color w:val="auto"/>
                <w:sz w:val="24"/>
                <w:szCs w:val="24"/>
                <w:highlight w:val="none"/>
                <w:u w:val="none"/>
                <w:lang w:val="en-US" w:eastAsia="zh-CN"/>
              </w:rPr>
              <w:t>2025年11月11日</w:t>
            </w:r>
            <w:r>
              <w:rPr>
                <w:rFonts w:hint="eastAsia" w:ascii="宋体" w:hAnsi="宋体" w:eastAsia="宋体" w:cs="宋体"/>
                <w:color w:val="auto"/>
                <w:spacing w:val="-1"/>
                <w:sz w:val="24"/>
                <w:szCs w:val="24"/>
                <w:lang w:eastAsia="zh-CN"/>
              </w:rPr>
              <w:t>9:00--1</w:t>
            </w:r>
            <w:r>
              <w:rPr>
                <w:rFonts w:hint="eastAsia" w:ascii="宋体" w:hAnsi="宋体" w:eastAsia="宋体" w:cs="宋体"/>
                <w:color w:val="auto"/>
                <w:spacing w:val="-1"/>
                <w:sz w:val="24"/>
                <w:szCs w:val="24"/>
                <w:lang w:val="en-US" w:eastAsia="zh-CN"/>
              </w:rPr>
              <w:t>0</w:t>
            </w:r>
            <w:r>
              <w:rPr>
                <w:rFonts w:hint="eastAsia" w:ascii="宋体" w:hAnsi="宋体" w:eastAsia="宋体" w:cs="宋体"/>
                <w:spacing w:val="-1"/>
                <w:sz w:val="24"/>
                <w:szCs w:val="24"/>
                <w:lang w:eastAsia="zh-CN"/>
              </w:rPr>
              <w:t>:00（北京时间）</w:t>
            </w:r>
          </w:p>
          <w:p w14:paraId="2CC1BDC1">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地点：济宁高新区产学研基地H6二楼会议室</w:t>
            </w:r>
          </w:p>
        </w:tc>
      </w:tr>
      <w:tr w14:paraId="1797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vAlign w:val="center"/>
          </w:tcPr>
          <w:p w14:paraId="0B4D2250">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18</w:t>
            </w:r>
          </w:p>
        </w:tc>
        <w:tc>
          <w:tcPr>
            <w:tcW w:w="1743" w:type="dxa"/>
            <w:vAlign w:val="center"/>
          </w:tcPr>
          <w:p w14:paraId="38BECD36">
            <w:pPr>
              <w:keepNext w:val="0"/>
              <w:keepLines w:val="0"/>
              <w:pageBreakBefore w:val="0"/>
              <w:wordWrap/>
              <w:overflowPunct/>
              <w:topLinePunct w:val="0"/>
              <w:bidi w:val="0"/>
              <w:snapToGrid w:val="0"/>
              <w:spacing w:line="360" w:lineRule="exact"/>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澄清或修改征集文件</w:t>
            </w:r>
          </w:p>
        </w:tc>
        <w:tc>
          <w:tcPr>
            <w:tcW w:w="7325" w:type="dxa"/>
            <w:vAlign w:val="center"/>
          </w:tcPr>
          <w:p w14:paraId="40C0D3CF">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澄清或修改征集文件将同时在济宁高新控股集团有限公司网站（http://www.jngxkgjt.com/）及时发布。请各潜在供应商及时关注相关信息。征集文件的澄清或修改文件一经发送，视作已发放给所有供应商，各供应商应随时关注项目报名时所预留信息，及时查收相关文件，否则所造成的一切后果由供应商自负。</w:t>
            </w:r>
          </w:p>
        </w:tc>
      </w:tr>
      <w:tr w14:paraId="4D2D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vAlign w:val="center"/>
          </w:tcPr>
          <w:p w14:paraId="389AB7F7">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19</w:t>
            </w:r>
          </w:p>
        </w:tc>
        <w:tc>
          <w:tcPr>
            <w:tcW w:w="1743" w:type="dxa"/>
            <w:vAlign w:val="center"/>
          </w:tcPr>
          <w:p w14:paraId="41CE5A5C">
            <w:pPr>
              <w:keepNext w:val="0"/>
              <w:keepLines w:val="0"/>
              <w:pageBreakBefore w:val="0"/>
              <w:wordWrap/>
              <w:overflowPunct/>
              <w:topLinePunct w:val="0"/>
              <w:bidi w:val="0"/>
              <w:snapToGrid w:val="0"/>
              <w:spacing w:line="360" w:lineRule="exact"/>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知识产权</w:t>
            </w:r>
          </w:p>
        </w:tc>
        <w:tc>
          <w:tcPr>
            <w:tcW w:w="7325" w:type="dxa"/>
            <w:vAlign w:val="center"/>
          </w:tcPr>
          <w:p w14:paraId="330CCE8C">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供应商须保证征集人在使用该货物或其任何一部分时不受到第三方关于侵犯专利权、商标权或工业设计权等知识产权的指控。如果任何第三方提出侵权指控与征集人无关，供应商须与第三方交涉并承担可能发生的责任与一切费用。如征集人因此而遭致损失的，供应商应承担相应法律责任。</w:t>
            </w:r>
          </w:p>
        </w:tc>
      </w:tr>
      <w:tr w14:paraId="41B1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90" w:type="dxa"/>
            <w:vAlign w:val="center"/>
          </w:tcPr>
          <w:p w14:paraId="42599FA3">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20</w:t>
            </w:r>
          </w:p>
        </w:tc>
        <w:tc>
          <w:tcPr>
            <w:tcW w:w="1743" w:type="dxa"/>
            <w:vAlign w:val="center"/>
          </w:tcPr>
          <w:p w14:paraId="291A88C4">
            <w:pPr>
              <w:keepNext w:val="0"/>
              <w:keepLines w:val="0"/>
              <w:pageBreakBefore w:val="0"/>
              <w:wordWrap/>
              <w:overflowPunct/>
              <w:topLinePunct w:val="0"/>
              <w:bidi w:val="0"/>
              <w:snapToGrid w:val="0"/>
              <w:spacing w:line="360" w:lineRule="exact"/>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供应商提报虚假</w:t>
            </w:r>
          </w:p>
          <w:p w14:paraId="505F6A5C">
            <w:pPr>
              <w:keepNext w:val="0"/>
              <w:keepLines w:val="0"/>
              <w:pageBreakBefore w:val="0"/>
              <w:wordWrap/>
              <w:overflowPunct/>
              <w:topLinePunct w:val="0"/>
              <w:bidi w:val="0"/>
              <w:snapToGrid w:val="0"/>
              <w:spacing w:line="360" w:lineRule="exact"/>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材料应承担的责</w:t>
            </w:r>
          </w:p>
          <w:p w14:paraId="36923704">
            <w:pPr>
              <w:keepNext w:val="0"/>
              <w:keepLines w:val="0"/>
              <w:pageBreakBefore w:val="0"/>
              <w:wordWrap/>
              <w:overflowPunct/>
              <w:topLinePunct w:val="0"/>
              <w:bidi w:val="0"/>
              <w:snapToGrid w:val="0"/>
              <w:spacing w:line="360" w:lineRule="exact"/>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任</w:t>
            </w:r>
          </w:p>
        </w:tc>
        <w:tc>
          <w:tcPr>
            <w:tcW w:w="7325" w:type="dxa"/>
            <w:vAlign w:val="center"/>
          </w:tcPr>
          <w:p w14:paraId="41F3334C">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供应商必须对其响应文件中提供的各种证书、文件、经营业绩、合同、财务报表以及售后服务机构的真实性负责。如发现有提供虚假材料的行为，将取消其入围资格。确定入围供应商之后，征集人仍保留对上述材料进行核查的权利，入围供应商应无条件配合，若发现违法违规行为，将取消其入围资格，给征集人造成损失的，还必须进行赔偿并承担相关责任。供应商提供虚假材料谋取中标的，依据有关法律法规的规定，处以采购金额千分之五以上千分之十以下的罚款，列入不良行为记录名单，有违法所得的，并处没收违法所得。情节严重的，由工商行政管理机关吊销营业执照；构成犯罪的，依法追究刑事责任。</w:t>
            </w:r>
          </w:p>
        </w:tc>
      </w:tr>
      <w:tr w14:paraId="7026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trPr>
        <w:tc>
          <w:tcPr>
            <w:tcW w:w="690" w:type="dxa"/>
            <w:vAlign w:val="center"/>
          </w:tcPr>
          <w:p w14:paraId="07096BF8">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21</w:t>
            </w:r>
          </w:p>
        </w:tc>
        <w:tc>
          <w:tcPr>
            <w:tcW w:w="1743" w:type="dxa"/>
            <w:vAlign w:val="center"/>
          </w:tcPr>
          <w:p w14:paraId="1444A130">
            <w:pPr>
              <w:keepNext w:val="0"/>
              <w:keepLines w:val="0"/>
              <w:pageBreakBefore w:val="0"/>
              <w:wordWrap/>
              <w:overflowPunct/>
              <w:topLinePunct w:val="0"/>
              <w:bidi w:val="0"/>
              <w:snapToGrid w:val="0"/>
              <w:spacing w:line="360" w:lineRule="exact"/>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入围供应商数量上限</w:t>
            </w:r>
          </w:p>
        </w:tc>
        <w:tc>
          <w:tcPr>
            <w:tcW w:w="7325" w:type="dxa"/>
            <w:vAlign w:val="center"/>
          </w:tcPr>
          <w:p w14:paraId="4EA7FEA3">
            <w:pPr>
              <w:pStyle w:val="10"/>
              <w:spacing w:beforeLines="0" w:afterLines="0"/>
              <w:rPr>
                <w:rFonts w:hint="eastAsia"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zh-CN" w:bidi="ar-SA"/>
              </w:rPr>
              <w:t>入围供应商数量上限为10家。</w:t>
            </w:r>
          </w:p>
        </w:tc>
      </w:tr>
      <w:tr w14:paraId="2EC2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9" w:hRule="atLeast"/>
        </w:trPr>
        <w:tc>
          <w:tcPr>
            <w:tcW w:w="690" w:type="dxa"/>
            <w:vAlign w:val="center"/>
          </w:tcPr>
          <w:p w14:paraId="453509A9">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22</w:t>
            </w:r>
          </w:p>
        </w:tc>
        <w:tc>
          <w:tcPr>
            <w:tcW w:w="1743" w:type="dxa"/>
            <w:vAlign w:val="center"/>
          </w:tcPr>
          <w:p w14:paraId="211CD70F">
            <w:pPr>
              <w:keepNext w:val="0"/>
              <w:keepLines w:val="0"/>
              <w:pageBreakBefore w:val="0"/>
              <w:wordWrap/>
              <w:overflowPunct/>
              <w:topLinePunct w:val="0"/>
              <w:bidi w:val="0"/>
              <w:snapToGrid w:val="0"/>
              <w:spacing w:line="360" w:lineRule="exact"/>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第一阶段入围供</w:t>
            </w:r>
          </w:p>
          <w:p w14:paraId="25A51CBA">
            <w:pPr>
              <w:keepNext w:val="0"/>
              <w:keepLines w:val="0"/>
              <w:pageBreakBefore w:val="0"/>
              <w:wordWrap/>
              <w:overflowPunct/>
              <w:topLinePunct w:val="0"/>
              <w:bidi w:val="0"/>
              <w:snapToGrid w:val="0"/>
              <w:spacing w:line="360" w:lineRule="exact"/>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应商的评审标准</w:t>
            </w:r>
          </w:p>
          <w:p w14:paraId="2D9961C4">
            <w:pPr>
              <w:keepNext w:val="0"/>
              <w:keepLines w:val="0"/>
              <w:pageBreakBefore w:val="0"/>
              <w:wordWrap/>
              <w:overflowPunct/>
              <w:topLinePunct w:val="0"/>
              <w:bidi w:val="0"/>
              <w:snapToGrid w:val="0"/>
              <w:spacing w:line="360" w:lineRule="exact"/>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及方法</w:t>
            </w:r>
          </w:p>
        </w:tc>
        <w:tc>
          <w:tcPr>
            <w:tcW w:w="7325" w:type="dxa"/>
            <w:vAlign w:val="center"/>
          </w:tcPr>
          <w:p w14:paraId="0C3A8BC3">
            <w:pPr>
              <w:pStyle w:val="10"/>
              <w:spacing w:beforeLines="0" w:afterLines="0"/>
              <w:rPr>
                <w:rFonts w:hint="eastAsia"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zh-CN" w:bidi="ar-SA"/>
              </w:rPr>
              <w:t>质量优先法（综合评分）</w:t>
            </w:r>
          </w:p>
        </w:tc>
      </w:tr>
      <w:tr w14:paraId="0911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trPr>
        <w:tc>
          <w:tcPr>
            <w:tcW w:w="690" w:type="dxa"/>
            <w:vAlign w:val="center"/>
          </w:tcPr>
          <w:p w14:paraId="770D48AC">
            <w:pPr>
              <w:keepNext w:val="0"/>
              <w:keepLines w:val="0"/>
              <w:pageBreakBefore w:val="0"/>
              <w:wordWrap/>
              <w:overflowPunct/>
              <w:topLinePunct w:val="0"/>
              <w:bidi w:val="0"/>
              <w:snapToGrid w:val="0"/>
              <w:spacing w:line="360" w:lineRule="exact"/>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23</w:t>
            </w:r>
          </w:p>
        </w:tc>
        <w:tc>
          <w:tcPr>
            <w:tcW w:w="1743" w:type="dxa"/>
            <w:vAlign w:val="center"/>
          </w:tcPr>
          <w:p w14:paraId="0D0DB697">
            <w:pPr>
              <w:pStyle w:val="10"/>
              <w:spacing w:beforeLines="0" w:afterLines="0"/>
              <w:jc w:val="center"/>
              <w:rPr>
                <w:rFonts w:hint="eastAsia"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zh-CN" w:bidi="ar-SA"/>
              </w:rPr>
              <w:t>第二阶段成交供应商的确定方式</w:t>
            </w:r>
          </w:p>
        </w:tc>
        <w:tc>
          <w:tcPr>
            <w:tcW w:w="7325" w:type="dxa"/>
            <w:vAlign w:val="center"/>
          </w:tcPr>
          <w:p w14:paraId="1234188B">
            <w:pPr>
              <w:pStyle w:val="10"/>
              <w:spacing w:beforeLines="0" w:afterLines="0"/>
              <w:rPr>
                <w:rFonts w:hint="eastAsia"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zh-CN" w:bidi="ar-SA"/>
              </w:rPr>
              <w:t>依据入围供应商的服务质量以及服务便利性、用户评价等因素，从第一阶段入围供应商中按照以下方式选定。</w:t>
            </w:r>
          </w:p>
          <w:p w14:paraId="0873D0C0">
            <w:pPr>
              <w:pStyle w:val="10"/>
              <w:spacing w:beforeLines="0" w:afterLines="0"/>
              <w:rPr>
                <w:rFonts w:hint="eastAsia"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zh-CN" w:bidi="ar-SA"/>
              </w:rPr>
              <w:t>（1）单个项目控制价合计大于等于5000元采用一事一议询价方式，由服务商库内单位报价，按照合理低价法的方式确定，评标基准价由招标控制价、投标平均值及系数组成。其中招标控制价由集团确定的招标代理服务费计价依据算出；投标平均值为所有投标报价中去掉最高价、最低价后的算术平均值；评标系数K由现场随机抽取，评标基准价=平均值×系数K1+控制价×系数K2。K1的取值范围为10%、20%、30%、40%、50%、70%、80%、90%中随机抽取确定；K2值为（1-K1数值）。K1在开标时现场随机抽取确定。</w:t>
            </w:r>
          </w:p>
          <w:p w14:paraId="18CE6C89">
            <w:pPr>
              <w:pStyle w:val="10"/>
              <w:spacing w:beforeLines="0" w:afterLines="0"/>
              <w:rPr>
                <w:rFonts w:hint="eastAsia"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zh-CN" w:bidi="ar-SA"/>
              </w:rPr>
              <w:t>单位报价与评标基准价的差值为报价偏离值，按照报价偏离值由小到大的顺序，报价低于评标基准价偏离值最小的单位为本项目服务单位。如偏离值相同，则采取现场再次报价方式，直至现场确定最低报价服务单位。中标单位轮空下一轮报价投标，如没有单位参加报价，控制价招标人可根据业务能力指定或随机抽取的方式确定服务单位(由集团综合管理部选择确定方式)。</w:t>
            </w:r>
          </w:p>
          <w:p w14:paraId="64402277">
            <w:pPr>
              <w:pStyle w:val="10"/>
              <w:spacing w:beforeLines="0" w:afterLines="0"/>
              <w:rPr>
                <w:rFonts w:hint="eastAsia"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zh-CN" w:bidi="ar-SA"/>
              </w:rPr>
              <w:t>单个项目预算金额在1000万元以下的，招标代理费包含招标文件编制、招标控制价(工程量清单)编制及开评标全过程费用；单个项目预算金额1000万至5000万元的招标代理费报价差额需要保留到千元；5000万元以上的招标代理费报价差额精确到万元。</w:t>
            </w:r>
          </w:p>
          <w:p w14:paraId="0CA1C602">
            <w:pPr>
              <w:pStyle w:val="10"/>
              <w:spacing w:beforeLines="0" w:afterLines="0"/>
              <w:rPr>
                <w:rFonts w:hint="eastAsia"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zh-CN" w:bidi="ar-SA"/>
              </w:rPr>
              <w:t>（2）单个项目服务费合计小于5000元采用从服务商库内单位中随机方式确定服务单位。项目采用现场摇号机抽取方式确定，分配采用抽签轮回制，即取得项目的单位不再参与下一个项目抽签活动，直至服务商库内单位抽完为止。服务质量、项目团队实力将是项目分配的重要考虑因素。</w:t>
            </w:r>
          </w:p>
          <w:p w14:paraId="6A6583BA">
            <w:pPr>
              <w:pStyle w:val="10"/>
              <w:spacing w:beforeLines="0" w:afterLines="0"/>
              <w:rPr>
                <w:rFonts w:hint="eastAsia"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zh-CN" w:bidi="ar-SA"/>
              </w:rPr>
              <w:t>（3）单个项目预算金额在1亿元以上的三重一大投资项目，由集团综合部全程监督招投标流程。</w:t>
            </w:r>
          </w:p>
        </w:tc>
      </w:tr>
      <w:tr w14:paraId="1C69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690" w:type="dxa"/>
            <w:vAlign w:val="center"/>
          </w:tcPr>
          <w:p w14:paraId="7888CCBE">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p>
        </w:tc>
        <w:tc>
          <w:tcPr>
            <w:tcW w:w="1743" w:type="dxa"/>
            <w:vAlign w:val="center"/>
          </w:tcPr>
          <w:p w14:paraId="65EDA968">
            <w:pPr>
              <w:keepNext w:val="0"/>
              <w:keepLines w:val="0"/>
              <w:pageBreakBefore w:val="0"/>
              <w:wordWrap/>
              <w:overflowPunct/>
              <w:topLinePunct w:val="0"/>
              <w:bidi w:val="0"/>
              <w:snapToGrid w:val="0"/>
              <w:spacing w:line="360" w:lineRule="exact"/>
              <w:jc w:val="cente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是否允许偏离</w:t>
            </w:r>
          </w:p>
        </w:tc>
        <w:tc>
          <w:tcPr>
            <w:tcW w:w="7325" w:type="dxa"/>
            <w:vAlign w:val="center"/>
          </w:tcPr>
          <w:p w14:paraId="41E0679E">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本项目不允许负偏离</w:t>
            </w:r>
          </w:p>
        </w:tc>
      </w:tr>
      <w:tr w14:paraId="5D68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trPr>
        <w:tc>
          <w:tcPr>
            <w:tcW w:w="690" w:type="dxa"/>
            <w:vAlign w:val="center"/>
          </w:tcPr>
          <w:p w14:paraId="701210C0">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p>
        </w:tc>
        <w:tc>
          <w:tcPr>
            <w:tcW w:w="9068" w:type="dxa"/>
            <w:gridSpan w:val="2"/>
            <w:vAlign w:val="center"/>
          </w:tcPr>
          <w:p w14:paraId="6614196A">
            <w:pPr>
              <w:keepNext w:val="0"/>
              <w:keepLines w:val="0"/>
              <w:pageBreakBefore w:val="0"/>
              <w:wordWrap/>
              <w:overflowPunct/>
              <w:topLinePunct w:val="0"/>
              <w:bidi w:val="0"/>
              <w:snapToGrid w:val="0"/>
              <w:spacing w:line="360" w:lineRule="exact"/>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在任何评审环节中，需评审委员会就某项定性的评审结论做出表决的，由评审委员会全体成员按照少数服从多数的原则，以记名投票方式表决。</w:t>
            </w:r>
          </w:p>
        </w:tc>
      </w:tr>
    </w:tbl>
    <w:p w14:paraId="30FEC357">
      <w:pPr>
        <w:keepNext w:val="0"/>
        <w:keepLines w:val="0"/>
        <w:pageBreakBefore w:val="0"/>
        <w:widowControl/>
        <w:kinsoku w:val="0"/>
        <w:wordWrap/>
        <w:overflowPunct/>
        <w:topLinePunct w:val="0"/>
        <w:autoSpaceDE w:val="0"/>
        <w:autoSpaceDN w:val="0"/>
        <w:bidi w:val="0"/>
        <w:adjustRightInd w:val="0"/>
        <w:snapToGrid w:val="0"/>
        <w:spacing w:before="144" w:beforeLines="50" w:line="360" w:lineRule="auto"/>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注：如正文内容有与本前附表内容有不一致的，以本供应商须知前附表内容为准。</w:t>
      </w:r>
    </w:p>
    <w:p w14:paraId="40D82B4E">
      <w:pPr>
        <w:rPr>
          <w:sz w:val="24"/>
          <w:szCs w:val="24"/>
          <w:lang w:eastAsia="zh-CN"/>
        </w:rPr>
        <w:sectPr>
          <w:pgSz w:w="11922" w:h="16839"/>
          <w:pgMar w:top="1134" w:right="1134" w:bottom="1134" w:left="1134" w:header="1134" w:footer="1134" w:gutter="0"/>
          <w:cols w:space="720" w:num="1"/>
          <w:docGrid w:linePitch="286" w:charSpace="0"/>
        </w:sectPr>
      </w:pPr>
    </w:p>
    <w:p w14:paraId="1DE8C000">
      <w:pPr>
        <w:spacing w:before="181" w:line="223" w:lineRule="auto"/>
        <w:jc w:val="center"/>
        <w:outlineLvl w:val="1"/>
        <w:rPr>
          <w:rFonts w:ascii="仿宋" w:hAnsi="仿宋" w:eastAsia="仿宋" w:cs="仿宋"/>
          <w:sz w:val="32"/>
          <w:szCs w:val="32"/>
          <w:lang w:eastAsia="zh-CN"/>
        </w:rPr>
      </w:pPr>
      <w:r>
        <w:rPr>
          <w:rFonts w:ascii="仿宋" w:hAnsi="仿宋" w:eastAsia="仿宋" w:cs="仿宋"/>
          <w:spacing w:val="-2"/>
          <w:sz w:val="32"/>
          <w:szCs w:val="32"/>
          <w:lang w:eastAsia="zh-CN"/>
          <w14:textOutline w14:w="5105" w14:cap="sq" w14:cmpd="sng" w14:algn="ctr">
            <w14:solidFill>
              <w14:srgbClr w14:val="000000"/>
            </w14:solidFill>
            <w14:prstDash w14:val="solid"/>
            <w14:bevel/>
          </w14:textOutline>
        </w:rPr>
        <w:t>供应商须知正文部分</w:t>
      </w:r>
    </w:p>
    <w:p w14:paraId="618BCA89">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1.总则</w:t>
      </w:r>
    </w:p>
    <w:p w14:paraId="24EE03FE">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1.1  项目概况</w:t>
      </w:r>
    </w:p>
    <w:p w14:paraId="745C5A0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1.1.1  根据相关法律、法规规定，本项目已具备采购条件，现采用框架协议方式对该项目进行采购；</w:t>
      </w:r>
    </w:p>
    <w:p w14:paraId="5CD788E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1.1.2 本项目征集人：见供应商须知前附表；</w:t>
      </w:r>
    </w:p>
    <w:p w14:paraId="74186EC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1.1.3 本项目名称：见供应商须知前附表；</w:t>
      </w:r>
    </w:p>
    <w:p w14:paraId="7B160BC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1.1.4 本项目采购内容：见供应商须知前附表。</w:t>
      </w:r>
    </w:p>
    <w:p w14:paraId="63B1AA7D">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1.2  采购方式</w:t>
      </w:r>
    </w:p>
    <w:p w14:paraId="5D0555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1.2.1 本项目采购方式见供应商须知前附表；</w:t>
      </w:r>
    </w:p>
    <w:p w14:paraId="0425E0CF">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1.3  框架协议期限、质量要求</w:t>
      </w:r>
    </w:p>
    <w:p w14:paraId="2FBA0BC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1.3.1 本项目框架协议期限见供应商须知前附表；</w:t>
      </w:r>
    </w:p>
    <w:p w14:paraId="51E72AC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1.3.2 本项目质量要求见供应商须知前附表。</w:t>
      </w:r>
    </w:p>
    <w:p w14:paraId="0319C1B5">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1.4  供应商资格要求</w:t>
      </w:r>
    </w:p>
    <w:p w14:paraId="5FD005A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1.4.1 具体详见供应商须知前附表。</w:t>
      </w:r>
    </w:p>
    <w:p w14:paraId="7C7E0101">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1.5  费用承担</w:t>
      </w:r>
    </w:p>
    <w:p w14:paraId="1F0AADF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1.5.1 供应商准备和参加征集活动发生的费用自理。</w:t>
      </w:r>
    </w:p>
    <w:p w14:paraId="691E7DC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1.5.2 采购代理服务费：无。</w:t>
      </w:r>
    </w:p>
    <w:p w14:paraId="4400AD56">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1.6  保密</w:t>
      </w:r>
    </w:p>
    <w:p w14:paraId="735E249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1.6.1 参与采购活动的各方应对征集文件和响应文件中的商业和技术等秘密保密，违者应对由此造成的后果承担法律责任。</w:t>
      </w:r>
    </w:p>
    <w:p w14:paraId="6A591B11">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1.7  语言文字</w:t>
      </w:r>
    </w:p>
    <w:p w14:paraId="5955F6B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1.7.1 除专用术语外，与采购投标有关的语言均使用简体中文。必要时专用术语应附有简体中文注释。</w:t>
      </w:r>
    </w:p>
    <w:p w14:paraId="0FB1CA16">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1.8  计量单位</w:t>
      </w:r>
    </w:p>
    <w:p w14:paraId="7575981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1.8.1 所有计量均采用中华人民共和国法定计量单位。</w:t>
      </w:r>
    </w:p>
    <w:p w14:paraId="2D2CBA99">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1.9  踏勘现场</w:t>
      </w:r>
    </w:p>
    <w:p w14:paraId="549C520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1.9.1 不组织踏勘现场。</w:t>
      </w:r>
    </w:p>
    <w:p w14:paraId="61D1DAE5">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 征集文件</w:t>
      </w:r>
    </w:p>
    <w:p w14:paraId="09A4E0C9">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2.1  征集文件的组成</w:t>
      </w:r>
    </w:p>
    <w:p w14:paraId="56B032C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本次采购项目的征集文件包含以下部分：</w:t>
      </w:r>
    </w:p>
    <w:p w14:paraId="6B64474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（1）征集公告；</w:t>
      </w:r>
    </w:p>
    <w:p w14:paraId="3386B67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（2）供应商须知及前附表；</w:t>
      </w:r>
    </w:p>
    <w:p w14:paraId="4AAEC01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（3）采购需求；</w:t>
      </w:r>
    </w:p>
    <w:p w14:paraId="57CB7DC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（4）框架协议文本；</w:t>
      </w:r>
    </w:p>
    <w:p w14:paraId="48CA354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（5）响应文件格式；</w:t>
      </w:r>
    </w:p>
    <w:p w14:paraId="6B5BA41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（6）评审方法及评审标准。</w:t>
      </w:r>
    </w:p>
    <w:p w14:paraId="13ACB08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本征集文件第四章“框架协议文本 ”是征集文件的重要组成部分，供应商必须仔细阅读并充分理解。供应商一旦入围，必须按照本征集文件第四章“框架协议文本”已约定的内容和格式与征集人签订框架协议。</w:t>
      </w:r>
    </w:p>
    <w:p w14:paraId="6CD499F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征集文件将通过书面形式进行发放，具体详见供应商须知前附表。对征集文件所作的澄清、修改、补充文件，同为征集文件的组成部分，其相互之间发生矛盾时，以最后发出的文件为准。</w:t>
      </w:r>
    </w:p>
    <w:p w14:paraId="1EEDDFA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供应商获取征集文件后，如有疑问向征集人提出，否则，由此引起的损失由供应商自己承担。供应商同时应认真审阅征集文件所有的事项、格式、条款和规范要求等，若供应商的响应文件没有按征集文件要求提交全部资料，或响应文件没有对征集文件做出实质性响应，其风险由供应商自行承担，并根据有关条款，该响应文件有可能被拒绝。</w:t>
      </w:r>
    </w:p>
    <w:p w14:paraId="229067F5">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2.2  征集文件的澄清和修改</w:t>
      </w:r>
    </w:p>
    <w:p w14:paraId="5292F54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提交响应文件截止之日前，征集人可以对已发出的征集文件进行必要的澄清或者修改，澄清或者修改的内容作为征集文件的组成部分。</w:t>
      </w:r>
    </w:p>
    <w:p w14:paraId="4293CB63">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 响应文件</w:t>
      </w:r>
    </w:p>
    <w:p w14:paraId="10562FA1">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3.1  响应文件的组成</w:t>
      </w:r>
    </w:p>
    <w:p w14:paraId="12DACCA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（1）报价部分</w:t>
      </w:r>
    </w:p>
    <w:p w14:paraId="27B2229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（2）供应商简介及资质（资格、资质证明文件）</w:t>
      </w:r>
    </w:p>
    <w:p w14:paraId="6D39A67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（3）技术、商务偏离</w:t>
      </w:r>
    </w:p>
    <w:p w14:paraId="1975CDC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（4）业绩及信誉</w:t>
      </w:r>
    </w:p>
    <w:p w14:paraId="309EBD6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（5）人员配备及服务方案</w:t>
      </w:r>
    </w:p>
    <w:p w14:paraId="76CB02B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（6）供应商认为需要说明的其他问题</w:t>
      </w:r>
    </w:p>
    <w:p w14:paraId="0E436F73">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3.2  报价</w:t>
      </w:r>
    </w:p>
    <w:p w14:paraId="55B018B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（1）本项目无须竞报服务价格。</w:t>
      </w:r>
    </w:p>
    <w:p w14:paraId="02342B1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（2）报价币种：人民币。</w:t>
      </w:r>
    </w:p>
    <w:p w14:paraId="1E89440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（3）供应商在报价时只能提供一个方案，且此方案只允许有一个报价。</w:t>
      </w:r>
    </w:p>
    <w:p w14:paraId="381D070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（4）本项目报价包含为完成本项目所有费用（含税金）。</w:t>
      </w:r>
    </w:p>
    <w:p w14:paraId="4DDE212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（5）供应商所提供服务及成果必须符合国家技术规范和质量标准。报价时应充分考虑框架协议期内的市场风险和国家政策性调整风险，供应商在报价时应充分考虑风险因素。</w:t>
      </w:r>
    </w:p>
    <w:p w14:paraId="5E447DF8">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3.3  响应文件有效期</w:t>
      </w:r>
    </w:p>
    <w:p w14:paraId="274C47B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3.3.1 在供应商须知前附表规定的响应文件有效期内，供应商不得要求撤销或修改其响应文件。</w:t>
      </w:r>
    </w:p>
    <w:p w14:paraId="3217614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3.3.2 出现特殊情况需要延长响应文件有效期的，征集人将通过</w:t>
      </w:r>
      <w:r>
        <w:rPr>
          <w:rFonts w:hint="eastAsia" w:ascii="宋体" w:hAnsi="宋体" w:eastAsia="宋体" w:cs="宋体"/>
          <w:sz w:val="24"/>
          <w:szCs w:val="24"/>
          <w:lang w:eastAsia="zh-CN"/>
        </w:rPr>
        <w:t>济宁高新控股集团有限公司网站（http://www.jngxkgjt.com/）</w:t>
      </w:r>
      <w:r>
        <w:rPr>
          <w:rFonts w:hint="eastAsia" w:ascii="宋体" w:hAnsi="宋体" w:eastAsia="宋体" w:cs="宋体"/>
          <w:sz w:val="24"/>
          <w:szCs w:val="24"/>
        </w:rPr>
        <w:t>通知所有供应商延长响应文件有效期。</w:t>
      </w:r>
      <w:r>
        <w:rPr>
          <w:rFonts w:hint="eastAsia" w:ascii="宋体" w:hAnsi="宋体" w:eastAsia="宋体" w:cs="宋体"/>
          <w:sz w:val="24"/>
          <w:szCs w:val="24"/>
          <w:lang w:eastAsia="zh-CN"/>
        </w:rPr>
        <w:t>供应商同意延长的，不得要求修改或撤销其响应文件；供应商拒绝延长的，其响应文件失效。</w:t>
      </w:r>
    </w:p>
    <w:p w14:paraId="2872E0AE">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3.4  资格审查方法及标准</w:t>
      </w:r>
    </w:p>
    <w:p w14:paraId="5F88A02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详见前附表。</w:t>
      </w:r>
    </w:p>
    <w:p w14:paraId="292D7E5F">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3.5  响应文件编制</w:t>
      </w:r>
    </w:p>
    <w:p w14:paraId="4D1C995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3.5.1 响应文件应当对征集文件有关投标有效期、框架协议、采购需求等实质性内容作出响应。</w:t>
      </w:r>
    </w:p>
    <w:p w14:paraId="022763F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3.5.2响应文件应用不褪色的A4幅面材料书写或打印，响应文件应尽量避免涂改、行间插字或删除。如果出现上述情况，改动之处应加盖单位章并由供应商的法定代表人或其授权的代理人签字或盖章确认。</w:t>
      </w:r>
    </w:p>
    <w:p w14:paraId="6E3EEAD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3.5.3 供应商代表必须按征集文件的规定签署响应文件（正本、副本及各附件），并在响应文件封面及响应文件格式中规定盖章部位加盖本单位公章。</w:t>
      </w:r>
    </w:p>
    <w:p w14:paraId="7B5FA38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3.5.4供应商代表未按征集文件要求签署响应文件及未加盖单位公章，视为无效响应文件，不予评审。签字或盖章的具体要求见供应商须知前附表。</w:t>
      </w:r>
    </w:p>
    <w:p w14:paraId="250C4605">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3.6  响应文件的密封和标记</w:t>
      </w:r>
    </w:p>
    <w:p w14:paraId="2F777B6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3.6.1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供应商应在每一份响应文件上要注明“正本”或“副本”字样，一旦正本和副本有差异，以正本为准。</w:t>
      </w:r>
    </w:p>
    <w:p w14:paraId="44CF390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3.6.2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供应商宜将响应文件正本、副本分别密封，并在封面明显处注明以下内容（封面格式见附件）：</w:t>
      </w:r>
    </w:p>
    <w:p w14:paraId="53565C7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1）项目名称；</w:t>
      </w:r>
    </w:p>
    <w:p w14:paraId="47BC067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2）正本或副本；</w:t>
      </w:r>
    </w:p>
    <w:p w14:paraId="1950A1D6">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4. 响应文件递交</w:t>
      </w:r>
    </w:p>
    <w:p w14:paraId="26D354D5">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4.1  响应文件的递交</w:t>
      </w:r>
    </w:p>
    <w:p w14:paraId="589A687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4.1.1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供应商应在规定的响应文件递交截止时间前递交响应文件。</w:t>
      </w:r>
    </w:p>
    <w:p w14:paraId="5580059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4.1.2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供应商递交响应文件的地点：见供应商须知前附表。</w:t>
      </w:r>
    </w:p>
    <w:p w14:paraId="2DACA92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4.1.3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逾期递交的响应文件，征集人不予受理。</w:t>
      </w:r>
    </w:p>
    <w:p w14:paraId="7FA04E4A">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4.2  响应文件的修改与撤回</w:t>
      </w:r>
    </w:p>
    <w:p w14:paraId="55029ED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4.2.1供应商在提交响应文件以后，不得对响应文件修改与撤回。</w:t>
      </w:r>
    </w:p>
    <w:p w14:paraId="34458AF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公开报价</w:t>
      </w:r>
    </w:p>
    <w:p w14:paraId="3E88D11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本项目无公开报价仪式。</w:t>
      </w:r>
    </w:p>
    <w:p w14:paraId="7C2EF55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评审</w:t>
      </w:r>
    </w:p>
    <w:p w14:paraId="5FDB78A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评审按下列程序进行：</w:t>
      </w:r>
    </w:p>
    <w:p w14:paraId="6D24454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（1）组建评审委员会；</w:t>
      </w:r>
    </w:p>
    <w:p w14:paraId="5490AA4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（2）评审准备工作。评审委员会成员熟悉征集文件等相关文件资料；</w:t>
      </w:r>
    </w:p>
    <w:p w14:paraId="2A9FC64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（3）评审原则和评审方法；</w:t>
      </w:r>
    </w:p>
    <w:p w14:paraId="66A9FF1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（4）向征集人提交书面评审报告；</w:t>
      </w:r>
    </w:p>
    <w:p w14:paraId="16F4BD5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（5）评审委员会解散。</w:t>
      </w:r>
    </w:p>
    <w:p w14:paraId="76CF4057">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6.1  组建评审委员会</w:t>
      </w:r>
    </w:p>
    <w:p w14:paraId="649A294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6.1.1  评审委员会由5人以上单数组成。</w:t>
      </w:r>
    </w:p>
    <w:p w14:paraId="31DE503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6.1.2  评审委员会成员有下列情形之一的，应当回避：</w:t>
      </w:r>
    </w:p>
    <w:p w14:paraId="2642F77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（1）征集人或供应商的主要负责人的近亲属；</w:t>
      </w:r>
    </w:p>
    <w:p w14:paraId="61434EA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（2）项目主管部门或者行政监督部门的人员；</w:t>
      </w:r>
    </w:p>
    <w:p w14:paraId="0B5DF53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（3）与供应商有经济利益关系，可能影响公正评审的；</w:t>
      </w:r>
    </w:p>
    <w:p w14:paraId="4C052F1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（4）曾因在政府采购、招标以及其他与招标采购有关活动中从事违法行为而受过行政处罚或刑事处罚的。</w:t>
      </w:r>
    </w:p>
    <w:p w14:paraId="45F5450E">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6.2  评审准备</w:t>
      </w:r>
    </w:p>
    <w:p w14:paraId="319B52E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6.2.1 评审委员会成员签到</w:t>
      </w:r>
    </w:p>
    <w:p w14:paraId="032C467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评审委员会成员到达评审现场时应在签到表上签到以证明其出席。</w:t>
      </w:r>
    </w:p>
    <w:p w14:paraId="2B2655D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6.2.2  熟悉文件资料</w:t>
      </w:r>
    </w:p>
    <w:p w14:paraId="27E81D6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 评审委员会成员认真研究征集文件，了解和熟悉采购目的、采购范围、主要合同条件、技术标准和要求、质量标准和服务期要求等，掌握评审标准和方法，熟悉本章及附件中包括的评审表格的使用。</w:t>
      </w:r>
    </w:p>
    <w:p w14:paraId="729E611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 征集人应向评审委员会提供评审所需的信息和数据，包括征集文件、响应文件以及评审委员会认为必要的其他信息和数据。</w:t>
      </w:r>
    </w:p>
    <w:p w14:paraId="3AABF2FD">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6.3  评审原则和评审方法</w:t>
      </w:r>
    </w:p>
    <w:p w14:paraId="2277525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6.3.1  评审原则</w:t>
      </w:r>
    </w:p>
    <w:p w14:paraId="5C2E5A7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评审委员会成员应当按照客观、公正、审慎的原则，根据征集文件规定的评审程序、评审方法和评审标准进行独立评审。未实质性响应征集文件的响应文件按无效响应处理，评审委员会应当告知提交响应文件的供应商。</w:t>
      </w:r>
    </w:p>
    <w:p w14:paraId="79E75CB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6.3.2 评审方法</w:t>
      </w:r>
    </w:p>
    <w:p w14:paraId="2F95F44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本次评审采用质量优先法，质量优先法是指对满足采购需求且响应报价不超过最高限价的服务进行质量综合评分，按照质量评分从高到低排序，根据征集文件规定的入围供应商数量上限，确定入围供应商的评审方法。</w:t>
      </w:r>
    </w:p>
    <w:p w14:paraId="3ADDF22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1、确定合格的供应商：</w:t>
      </w:r>
    </w:p>
    <w:p w14:paraId="31520CB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符合征集文件资格要求及实质性要求条件的供应商即为合格的供应商。</w:t>
      </w:r>
    </w:p>
    <w:p w14:paraId="5E0E5ED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2、初步评审：</w:t>
      </w:r>
    </w:p>
    <w:p w14:paraId="4C9A533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（1）评审委员会将确定每一供应商是否对征集文件的要求做出了实质性的响应，而没有重大偏离。实质性响应是指符合征集文件的所有条款、条件和规定且没有重大偏离或保留。</w:t>
      </w:r>
    </w:p>
    <w:p w14:paraId="5F8D673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（2）如出现下列情形之一的，视为对征集文件没有做出实质性响应，按照无效报价处理。</w:t>
      </w:r>
    </w:p>
    <w:p w14:paraId="7134424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a)响应文件不完整；</w:t>
      </w:r>
    </w:p>
    <w:p w14:paraId="3B17DEA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b)未按规定方式报价；</w:t>
      </w:r>
    </w:p>
    <w:p w14:paraId="36D46CB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c)报价有计算错误；</w:t>
      </w:r>
    </w:p>
    <w:p w14:paraId="5B5057E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d)响应文件未按征集文件要求签字或盖章；</w:t>
      </w:r>
    </w:p>
    <w:p w14:paraId="3D9F906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e)响应文件载明的框架协议期、响应时间等超过征集文件规定的时间；</w:t>
      </w:r>
    </w:p>
    <w:p w14:paraId="7018983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f)响应文件出现征集人名称、项目名称、服务方案等与征集文件相关内容严重不一致的；</w:t>
      </w:r>
    </w:p>
    <w:p w14:paraId="5200734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g)不符合征集文件中规定的偏离情况及其他实质性要求。</w:t>
      </w:r>
    </w:p>
    <w:p w14:paraId="4FF4722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（3）评审委员会允许供应商修改响应文件中不构成重大偏离的、微小的、非正规、不一致或不规则的地方。但是修改的内容不能改变响应文件的实质性内容。</w:t>
      </w:r>
    </w:p>
    <w:p w14:paraId="50C2994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（4）评审委员会将拒绝被确定为非实质性响应的响应文件，供应商不能通过修正或撤销响应文件中的不符之处而使其报价成为实质性响应的报价。</w:t>
      </w:r>
    </w:p>
    <w:p w14:paraId="6E085DA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（5）评审委员会对各供应商的报价进行评审，对不响应征集文件要求的报价予以淘汰。</w:t>
      </w:r>
    </w:p>
    <w:p w14:paraId="7C8C517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4、特殊情况下的评审方法</w:t>
      </w:r>
    </w:p>
    <w:p w14:paraId="5F01D5D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如出现供应商达不到法定数量、串通报价、报价不响应征集文件要求以及供应商互相诋毁，导致评审委员会无法评审时，评审委员会有权停止采购活动，否决所有报价，征集人依法重新组织采购。</w:t>
      </w:r>
    </w:p>
    <w:p w14:paraId="7CA12CB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5、无效响应文件</w:t>
      </w:r>
    </w:p>
    <w:p w14:paraId="2A25FF9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供应商有下列情形之一，其报价将被视为无效报价，征集人将严格按照相关法律、法规及规章制度的规定行使权利。供应商给征集人造成损失的，征集人有索赔的权利，供应商应予以赔偿。</w:t>
      </w:r>
    </w:p>
    <w:p w14:paraId="09F4894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供应商提供的有关资格、资质证明文件不真实或提供虚假采购材料；</w:t>
      </w:r>
    </w:p>
    <w:p w14:paraId="22B9184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供应商在响应文件有效期内撤回报价或响应文件；</w:t>
      </w:r>
    </w:p>
    <w:p w14:paraId="7882102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在整个评审过程中，供应商有企图影响采购活动结果公正性的任何活动；</w:t>
      </w:r>
    </w:p>
    <w:p w14:paraId="593EBD7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供应商以任何方式诋毁其他供应商；</w:t>
      </w:r>
    </w:p>
    <w:p w14:paraId="7029FA3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供应商串通报价；</w:t>
      </w:r>
    </w:p>
    <w:p w14:paraId="365379A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有下列情形之一的，视为串通报价，作无效响应处理：</w:t>
      </w:r>
    </w:p>
    <w:p w14:paraId="7E34120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5.5.1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不同供应商的响应文件由同一单位或者个人编制；</w:t>
      </w:r>
    </w:p>
    <w:p w14:paraId="429059B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5.5.2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不同供应商委托同一单位或者个人办理征集事宜；</w:t>
      </w:r>
    </w:p>
    <w:p w14:paraId="1A31FA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5.5.3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不同供应商的响应文件载明的项目管理成员或者联系人员为同一人；</w:t>
      </w:r>
    </w:p>
    <w:p w14:paraId="1DC35C7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5.5.4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不同供应商的响应文件异常一致或者报价呈规律性差异；</w:t>
      </w:r>
    </w:p>
    <w:p w14:paraId="3CA4762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5.5.5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不同供应商的响应文件相互混装；</w:t>
      </w:r>
    </w:p>
    <w:p w14:paraId="4C51CF3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5.5.6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法律、法规规定的其他情况。</w:t>
      </w:r>
    </w:p>
    <w:p w14:paraId="0979C15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以他人名义报价或者以其他方式弄虚作假，骗取入围的；</w:t>
      </w:r>
    </w:p>
    <w:p w14:paraId="2574597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入围供应商不按规定签订框架协议；</w:t>
      </w:r>
    </w:p>
    <w:p w14:paraId="3AA4564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5.8</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法律、法规规定的其他情况。</w:t>
      </w:r>
    </w:p>
    <w:p w14:paraId="4844CFC2">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入围</w:t>
      </w:r>
    </w:p>
    <w:p w14:paraId="48968077">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lang w:eastAsia="zh-CN"/>
        </w:rPr>
        <w:t>7</w:t>
      </w:r>
      <w:r>
        <w:rPr>
          <w:rFonts w:hint="eastAsia" w:ascii="宋体" w:hAnsi="宋体" w:eastAsia="宋体" w:cs="宋体"/>
          <w:b/>
          <w:bCs/>
          <w:sz w:val="24"/>
          <w:szCs w:val="24"/>
        </w:rPr>
        <w:t>.1</w:t>
      </w:r>
      <w:r>
        <w:rPr>
          <w:rFonts w:hint="eastAsia" w:ascii="宋体" w:hAnsi="宋体" w:eastAsia="宋体" w:cs="宋体"/>
          <w:b/>
          <w:bCs/>
          <w:sz w:val="24"/>
          <w:szCs w:val="24"/>
          <w:lang w:eastAsia="zh-CN"/>
        </w:rPr>
        <w:t xml:space="preserve">  </w:t>
      </w:r>
      <w:r>
        <w:rPr>
          <w:rFonts w:hint="eastAsia" w:ascii="宋体" w:hAnsi="宋体" w:eastAsia="宋体" w:cs="宋体"/>
          <w:b/>
          <w:bCs/>
          <w:sz w:val="24"/>
          <w:szCs w:val="24"/>
        </w:rPr>
        <w:t>入围方式</w:t>
      </w:r>
    </w:p>
    <w:p w14:paraId="660D57F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7.1.1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本次评审采用质量优先法，将依据供应商响应文件对其服务内容、服务水平、履约能力、服务经验等进行质量综合评分。每一供应商的最终得分为所有评委评分的算术平均值。按评审得分由高到低顺序排列。</w:t>
      </w:r>
    </w:p>
    <w:p w14:paraId="24EB360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（1）如评审得分相同，由评审委员会按投票的方式确定排列次序，确定入围供应商。</w:t>
      </w:r>
    </w:p>
    <w:p w14:paraId="69B671B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（2）入围供应商推荐规则：通过实质性响应的供应商不少于3家，否则废标，入围供应商数量上限为</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家。</w:t>
      </w:r>
    </w:p>
    <w:p w14:paraId="56966AB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征集人在评审报告推荐的入围供应商候选人中按顺序确定入围供应商，并公告入围结果。入围供应商候选人放弃入围、拒绝与征集人签订框架协议、因不可抗力或自身原因不能履行合同或者被查实存在影响入围结果的违法行为等情形，不符合入围条件的，征集人按照入围候选人顺序递补入围供应商。</w:t>
      </w:r>
    </w:p>
    <w:p w14:paraId="35B73C3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7.1.2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编制评审报告</w:t>
      </w:r>
    </w:p>
    <w:p w14:paraId="05B878C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评审委员会向征集人提交评审报告。评审报告应当由全体评审委员会成员签字。评审报告应当包括以下内容：</w:t>
      </w:r>
    </w:p>
    <w:p w14:paraId="0EE2B90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（1）供应商参加采购活动的具体方式和相关情况；</w:t>
      </w:r>
    </w:p>
    <w:p w14:paraId="7CFE2D5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（2）响应文件开启日期和地点；</w:t>
      </w:r>
    </w:p>
    <w:p w14:paraId="75DDBDB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（3）获取征集文件的供应商名单和评审委员会成员名单；</w:t>
      </w:r>
    </w:p>
    <w:p w14:paraId="49E02F2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（4）评审情况记录和说明，包括对供应商的资格审查情况、供应商响应文件评审情况、报价情况等；</w:t>
      </w:r>
    </w:p>
    <w:p w14:paraId="4820076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（5）提出的入围候选供应商的排序名单及理由。</w:t>
      </w:r>
    </w:p>
    <w:p w14:paraId="520FFB1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7.1.3评审报告应当由评审委员会全体人员签字认可。评审委员会成员对评审报告有异议的，评审委员会按照少数服从多数的原则推荐入围候选供应商，采购程序继续进行。对评审报告有异议的评审委员会成员，应当在报告上签署不同意见并说明理由，由评审委员会书面记录相关情况。评审委员会成员拒绝在报告上签字又不书面说明其不同意见和理由的，视为同意评审报告。</w:t>
      </w:r>
    </w:p>
    <w:p w14:paraId="3B02093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7.1.4向征集人提交书面评审报告后，评审委员会即告解散。</w:t>
      </w:r>
    </w:p>
    <w:p w14:paraId="6D4C9C5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7.1.5评审委员会经评审，认为所有报价都不符合征集文件要求的，可以否决所有报价。所有报价被否决后，征集人应当依法重新采购。</w:t>
      </w:r>
    </w:p>
    <w:p w14:paraId="0231B11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7.1.6特殊情况的处置程序</w:t>
      </w:r>
    </w:p>
    <w:p w14:paraId="0DA8E9DC">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4"/>
          <w:szCs w:val="24"/>
          <w:lang w:eastAsia="zh-CN"/>
        </w:rPr>
      </w:pPr>
      <w:r>
        <w:rPr>
          <w:rFonts w:hint="eastAsia" w:ascii="宋体" w:hAnsi="宋体" w:eastAsia="宋体" w:cs="宋体"/>
        </w:rPr>
        <w:fldChar w:fldCharType="begin"/>
      </w:r>
      <w:r>
        <w:rPr>
          <w:rFonts w:hint="eastAsia" w:ascii="宋体" w:hAnsi="宋体" w:eastAsia="宋体" w:cs="宋体"/>
        </w:rPr>
        <w:instrText xml:space="preserve"> HYPERLINK "6.1.6.1" </w:instrText>
      </w:r>
      <w:r>
        <w:rPr>
          <w:rFonts w:hint="eastAsia" w:ascii="宋体" w:hAnsi="宋体" w:eastAsia="宋体" w:cs="宋体"/>
        </w:rPr>
        <w:fldChar w:fldCharType="separate"/>
      </w:r>
      <w:r>
        <w:rPr>
          <w:rFonts w:hint="eastAsia" w:ascii="宋体" w:hAnsi="宋体" w:eastAsia="宋体" w:cs="宋体"/>
          <w:sz w:val="24"/>
          <w:szCs w:val="24"/>
          <w:lang w:eastAsia="zh-CN"/>
        </w:rPr>
        <w:t>7.1.6.1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关于评审活动暂停</w:t>
      </w:r>
    </w:p>
    <w:p w14:paraId="4D916A2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评审委员会应当执行连续评审的原则，按评审办法中规定的程序、内容、方法、标准完成全部评审工作。只有发生不可抗力导致评审工作无法继续时，评审活动方可暂停。发生评审暂停情况时，评审委员会应当封存全部响应文件和评审记录，待不可抗力的影响结束且具备继续评审的条件时，由原评审委员会继续评审。</w:t>
      </w:r>
    </w:p>
    <w:p w14:paraId="3C1EBB1E">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4"/>
          <w:szCs w:val="24"/>
          <w:lang w:eastAsia="zh-CN"/>
        </w:rPr>
      </w:pPr>
      <w:r>
        <w:rPr>
          <w:rFonts w:hint="eastAsia" w:ascii="宋体" w:hAnsi="宋体" w:eastAsia="宋体" w:cs="宋体"/>
        </w:rPr>
        <w:fldChar w:fldCharType="begin"/>
      </w:r>
      <w:r>
        <w:rPr>
          <w:rFonts w:hint="eastAsia" w:ascii="宋体" w:hAnsi="宋体" w:eastAsia="宋体" w:cs="宋体"/>
        </w:rPr>
        <w:instrText xml:space="preserve"> HYPERLINK "6.6.1.2" </w:instrText>
      </w:r>
      <w:r>
        <w:rPr>
          <w:rFonts w:hint="eastAsia" w:ascii="宋体" w:hAnsi="宋体" w:eastAsia="宋体" w:cs="宋体"/>
        </w:rPr>
        <w:fldChar w:fldCharType="separate"/>
      </w:r>
      <w:r>
        <w:rPr>
          <w:rFonts w:hint="eastAsia" w:ascii="宋体" w:hAnsi="宋体" w:eastAsia="宋体" w:cs="宋体"/>
          <w:sz w:val="24"/>
          <w:szCs w:val="24"/>
          <w:lang w:eastAsia="zh-CN"/>
        </w:rPr>
        <w:t>7.7.1.2</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关于评审中途更换评委</w:t>
      </w:r>
    </w:p>
    <w:p w14:paraId="63FEA9F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除非发生下列情况之一，评审委员会成员不得在评审中途更换：</w:t>
      </w:r>
    </w:p>
    <w:p w14:paraId="23615AE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（1）因不可抗拒的客观原因，不能到场或需在评审中途退出评审活动。</w:t>
      </w:r>
    </w:p>
    <w:p w14:paraId="7A0D8EC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（2）根据法律法规规定，某个或某几个评审委员会成员需要回避。退出评审的评审委员会成员，其已完成的评审行为无效。由征集人根据本征集文件规定的评审委员会成员产生方式另行确定替代者进行评审。</w:t>
      </w:r>
    </w:p>
    <w:p w14:paraId="64C2BFBA">
      <w:pPr>
        <w:keepNext w:val="0"/>
        <w:keepLines w:val="0"/>
        <w:pageBreakBefore w:val="0"/>
        <w:widowControl/>
        <w:kinsoku w:val="0"/>
        <w:wordWrap/>
        <w:overflowPunct/>
        <w:topLinePunct w:val="0"/>
        <w:autoSpaceDE w:val="0"/>
        <w:autoSpaceDN w:val="0"/>
        <w:bidi w:val="0"/>
        <w:adjustRightInd w:val="0"/>
        <w:snapToGrid w:val="0"/>
        <w:spacing w:line="400" w:lineRule="exact"/>
        <w:ind w:firstLine="420" w:firstLineChars="200"/>
        <w:textAlignment w:val="baseline"/>
        <w:rPr>
          <w:rFonts w:hint="eastAsia" w:ascii="宋体" w:hAnsi="宋体" w:eastAsia="宋体" w:cs="宋体"/>
          <w:sz w:val="24"/>
          <w:szCs w:val="24"/>
          <w:lang w:eastAsia="zh-CN"/>
        </w:rPr>
      </w:pPr>
      <w:r>
        <w:rPr>
          <w:rFonts w:hint="eastAsia" w:ascii="宋体" w:hAnsi="宋体" w:eastAsia="宋体" w:cs="宋体"/>
        </w:rPr>
        <w:fldChar w:fldCharType="begin"/>
      </w:r>
      <w:r>
        <w:rPr>
          <w:rFonts w:hint="eastAsia" w:ascii="宋体" w:hAnsi="宋体" w:eastAsia="宋体" w:cs="宋体"/>
        </w:rPr>
        <w:instrText xml:space="preserve"> HYPERLINK "6.6.1.3" </w:instrText>
      </w:r>
      <w:r>
        <w:rPr>
          <w:rFonts w:hint="eastAsia" w:ascii="宋体" w:hAnsi="宋体" w:eastAsia="宋体" w:cs="宋体"/>
        </w:rPr>
        <w:fldChar w:fldCharType="separate"/>
      </w:r>
      <w:r>
        <w:rPr>
          <w:rFonts w:hint="eastAsia" w:ascii="宋体" w:hAnsi="宋体" w:eastAsia="宋体" w:cs="宋体"/>
          <w:sz w:val="24"/>
          <w:szCs w:val="24"/>
          <w:lang w:eastAsia="zh-CN"/>
        </w:rPr>
        <w:t>7.6.1.3</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关于记名投票表决评审结论</w:t>
      </w:r>
    </w:p>
    <w:p w14:paraId="3C2E964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在任何评审环节中，需评审委员会就某项定性的评审结论做出表决的，由评审委员会全体成员按照少数服从多数的原则，以记名投票方式表决。</w:t>
      </w:r>
    </w:p>
    <w:p w14:paraId="5D3B83F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入围通知</w:t>
      </w:r>
    </w:p>
    <w:p w14:paraId="4E6B4ED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8.1.1 确定入围结果后，征集人发出入围通知书，并按规定公告入围结果。</w:t>
      </w:r>
    </w:p>
    <w:p w14:paraId="7259A29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8.1.2 《入围通知书》将作为框架协议的组成部分。入围通知书发出后，征集人改变入围结果的，或者入围供应商放弃入围的，应当依法承担法律责任。</w:t>
      </w:r>
    </w:p>
    <w:p w14:paraId="7FCE957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8.2  履约保证金：详见前附表。</w:t>
      </w:r>
    </w:p>
    <w:p w14:paraId="074B23F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8.3  签订框架协议</w:t>
      </w:r>
    </w:p>
    <w:p w14:paraId="4E9B4D9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征集人应当自发出入围通知书之日起30个工作日内，与入围供应商签订框架协议。</w:t>
      </w:r>
    </w:p>
    <w:p w14:paraId="59A89F6F">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重新采购</w:t>
      </w:r>
    </w:p>
    <w:p w14:paraId="0E52C24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出现下列情形之一的，征集人重新开展采购活动：</w:t>
      </w:r>
    </w:p>
    <w:p w14:paraId="4E88139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9.1.1在响应文件递交截止时间时提交响应文件和符合资格条件、实质性要求的供应商少于3个的；</w:t>
      </w:r>
    </w:p>
    <w:p w14:paraId="2A6CA5C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9.1.2所有响应文件均被作为无效响应处理的。</w:t>
      </w:r>
    </w:p>
    <w:p w14:paraId="192384E9">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10. 纪律和监督</w:t>
      </w:r>
    </w:p>
    <w:p w14:paraId="02F42381">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10.1  对征集人的纪律要求</w:t>
      </w:r>
    </w:p>
    <w:p w14:paraId="077A5A7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征集人不得泄漏征集活动中应当保密的情况和资料，不得与供应商串通损害国家利益、社会公共利益和他人合法权益。</w:t>
      </w:r>
    </w:p>
    <w:p w14:paraId="769C7B75">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10.2  对供应商的纪律要求</w:t>
      </w:r>
    </w:p>
    <w:p w14:paraId="085848C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供应商不得相互串通报价或者与征集人串通报价，不得向征集人或者评审委员会成员行贿谋取入围，不得以他人名义报价或者以其他方式弄虚作假骗取入围；供应商不得以任何方式干扰、影响评审工作。</w:t>
      </w:r>
    </w:p>
    <w:p w14:paraId="48E6B057">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10.3  对评审委员会成员的纪律要求</w:t>
      </w:r>
    </w:p>
    <w:p w14:paraId="550406F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评审委员会成员不得收受他人的财物或者其他好处，不得向他人透漏对响应文件的 评审和比较、入围供应商候选人的推荐情况以及与评审有关的其他情况。在评审活动中，评审委员会成员不得擅离职守，影响评审程序正常进行，不得使用“评审办法 ”没有规定的评审因素和标准进行评审。</w:t>
      </w:r>
    </w:p>
    <w:p w14:paraId="3826A58B">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10.4  对与评审活动有关的工作人员的纪律要求</w:t>
      </w:r>
    </w:p>
    <w:p w14:paraId="21E427D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与评审活动有关的工作人员不得收受他人的财物或者其他好处，不得向他人透漏对响应文件的评审和比较、入围供应商候选人的推荐情况以及与评审有关的其他情况。</w:t>
      </w:r>
    </w:p>
    <w:p w14:paraId="511CD3B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在评审活动中，与评审活动有关的工作人员不得擅离职守，影响评审程序正常进行。</w:t>
      </w:r>
    </w:p>
    <w:p w14:paraId="539CDFCB">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11. 需要补充的其他内容</w:t>
      </w:r>
    </w:p>
    <w:p w14:paraId="7C0E51F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需要补充的其他内容：见供应商须知前附表。</w:t>
      </w:r>
    </w:p>
    <w:p w14:paraId="2460A96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4"/>
          <w:szCs w:val="24"/>
          <w:lang w:eastAsia="zh-CN"/>
        </w:rPr>
        <w:sectPr>
          <w:pgSz w:w="11922" w:h="16839"/>
          <w:pgMar w:top="1134" w:right="1134" w:bottom="1134" w:left="1134" w:header="1134" w:footer="1134" w:gutter="0"/>
          <w:cols w:space="720" w:num="1"/>
          <w:docGrid w:linePitch="286" w:charSpace="0"/>
        </w:sectPr>
      </w:pPr>
    </w:p>
    <w:p w14:paraId="0ACAD739">
      <w:pPr>
        <w:pStyle w:val="2"/>
        <w:bidi w:val="0"/>
        <w:rPr>
          <w:rFonts w:hint="eastAsia" w:ascii="宋体" w:hAnsi="宋体" w:eastAsia="宋体" w:cs="宋体"/>
          <w:lang w:eastAsia="zh-CN"/>
        </w:rPr>
      </w:pPr>
      <w:bookmarkStart w:id="4" w:name="bookmark3"/>
      <w:bookmarkEnd w:id="4"/>
      <w:bookmarkStart w:id="5" w:name="_Toc15348"/>
      <w:r>
        <w:rPr>
          <w:rFonts w:hint="eastAsia"/>
          <w:lang w:eastAsia="zh-CN"/>
        </w:rPr>
        <w:t>第三章 采购需求</w:t>
      </w:r>
      <w:bookmarkEnd w:id="5"/>
    </w:p>
    <w:p w14:paraId="2D3EE511">
      <w:pPr>
        <w:keepNext w:val="0"/>
        <w:keepLines w:val="0"/>
        <w:pageBreakBefore w:val="0"/>
        <w:widowControl/>
        <w:kinsoku w:val="0"/>
        <w:wordWrap/>
        <w:overflowPunct/>
        <w:topLinePunct w:val="0"/>
        <w:autoSpaceDE w:val="0"/>
        <w:autoSpaceDN w:val="0"/>
        <w:bidi w:val="0"/>
        <w:adjustRightInd w:val="0"/>
        <w:snapToGrid w:val="0"/>
        <w:spacing w:line="400" w:lineRule="exact"/>
        <w:ind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14:textOutline w14:w="4356" w14:cap="sq" w14:cmpd="sng" w14:algn="ctr">
            <w14:solidFill>
              <w14:srgbClr w14:val="000000"/>
            </w14:solidFill>
            <w14:prstDash w14:val="solid"/>
            <w14:bevel/>
          </w14:textOutline>
        </w:rPr>
        <w:t>一、项目概述</w:t>
      </w:r>
    </w:p>
    <w:p w14:paraId="0B41033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1、项目名称：济宁高新社发投资集团有限公司招标代理服务机构框架协议采购项目</w:t>
      </w:r>
      <w:r>
        <w:rPr>
          <w:rFonts w:hint="eastAsia" w:ascii="宋体" w:hAnsi="宋体" w:eastAsia="宋体" w:cs="宋体"/>
          <w:spacing w:val="-30"/>
          <w:sz w:val="24"/>
          <w:szCs w:val="24"/>
          <w:lang w:eastAsia="zh-CN"/>
        </w:rPr>
        <w:t>。</w:t>
      </w:r>
    </w:p>
    <w:p w14:paraId="7CCF15E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pacing w:val="-2"/>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2"/>
          <w:sz w:val="24"/>
          <w:szCs w:val="24"/>
          <w:lang w:eastAsia="zh-CN"/>
        </w:rPr>
        <w:t>服务内容：济宁高新社发投资集团有限公司招标代理服务机构框架协议采购项目，依据征集人的需求，接受征集人的安排，全面准确理解征集人的指导思想后组建技术团队制定招标文件和组织招标采购活动。</w:t>
      </w:r>
    </w:p>
    <w:p w14:paraId="2BAAA644">
      <w:pPr>
        <w:keepNext w:val="0"/>
        <w:keepLines w:val="0"/>
        <w:pageBreakBefore w:val="0"/>
        <w:widowControl/>
        <w:kinsoku w:val="0"/>
        <w:wordWrap/>
        <w:overflowPunct/>
        <w:topLinePunct w:val="0"/>
        <w:autoSpaceDE w:val="0"/>
        <w:autoSpaceDN w:val="0"/>
        <w:bidi w:val="0"/>
        <w:adjustRightInd w:val="0"/>
        <w:snapToGrid w:val="0"/>
        <w:spacing w:line="400" w:lineRule="exact"/>
        <w:ind w:firstLine="472" w:firstLineChars="200"/>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服务内容包括但不限于以下内容：</w:t>
      </w:r>
    </w:p>
    <w:p w14:paraId="24D27905">
      <w:pPr>
        <w:keepNext w:val="0"/>
        <w:keepLines w:val="0"/>
        <w:pageBreakBefore w:val="0"/>
        <w:widowControl/>
        <w:kinsoku w:val="0"/>
        <w:wordWrap/>
        <w:overflowPunct/>
        <w:topLinePunct w:val="0"/>
        <w:autoSpaceDE w:val="0"/>
        <w:autoSpaceDN w:val="0"/>
        <w:bidi w:val="0"/>
        <w:adjustRightInd w:val="0"/>
        <w:snapToGrid w:val="0"/>
        <w:spacing w:line="400" w:lineRule="exact"/>
        <w:ind w:firstLine="472" w:firstLineChars="200"/>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（1）提供招标采购前期的相关咨询，提供招标采购文件示范文本；根据遴选人要求制定发布招标文件及招标公告等；</w:t>
      </w:r>
    </w:p>
    <w:p w14:paraId="1C641ACB">
      <w:pPr>
        <w:keepNext w:val="0"/>
        <w:keepLines w:val="0"/>
        <w:pageBreakBefore w:val="0"/>
        <w:widowControl/>
        <w:kinsoku w:val="0"/>
        <w:wordWrap/>
        <w:overflowPunct/>
        <w:topLinePunct w:val="0"/>
        <w:autoSpaceDE w:val="0"/>
        <w:autoSpaceDN w:val="0"/>
        <w:bidi w:val="0"/>
        <w:adjustRightInd w:val="0"/>
        <w:snapToGrid w:val="0"/>
        <w:spacing w:line="400" w:lineRule="exact"/>
        <w:ind w:firstLine="472" w:firstLineChars="200"/>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（2）组织投标人的报名、发售招标文件、审查申请人资格、组织开标评标等工作；</w:t>
      </w:r>
    </w:p>
    <w:p w14:paraId="031A3AB4">
      <w:pPr>
        <w:keepNext w:val="0"/>
        <w:keepLines w:val="0"/>
        <w:pageBreakBefore w:val="0"/>
        <w:widowControl/>
        <w:kinsoku w:val="0"/>
        <w:wordWrap/>
        <w:overflowPunct/>
        <w:topLinePunct w:val="0"/>
        <w:autoSpaceDE w:val="0"/>
        <w:autoSpaceDN w:val="0"/>
        <w:bidi w:val="0"/>
        <w:adjustRightInd w:val="0"/>
        <w:snapToGrid w:val="0"/>
        <w:spacing w:line="400" w:lineRule="exact"/>
        <w:ind w:firstLine="472" w:firstLineChars="200"/>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（3）向遴选人汇报评标情况、发送评标报告、发布中选等；</w:t>
      </w:r>
    </w:p>
    <w:p w14:paraId="1561A89B">
      <w:pPr>
        <w:keepNext w:val="0"/>
        <w:keepLines w:val="0"/>
        <w:pageBreakBefore w:val="0"/>
        <w:widowControl/>
        <w:kinsoku w:val="0"/>
        <w:wordWrap/>
        <w:overflowPunct/>
        <w:topLinePunct w:val="0"/>
        <w:autoSpaceDE w:val="0"/>
        <w:autoSpaceDN w:val="0"/>
        <w:bidi w:val="0"/>
        <w:adjustRightInd w:val="0"/>
        <w:snapToGrid w:val="0"/>
        <w:spacing w:line="400" w:lineRule="exact"/>
        <w:ind w:firstLine="472" w:firstLineChars="200"/>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（4）答复投标人质疑，配合遴选人处理投诉；</w:t>
      </w:r>
    </w:p>
    <w:p w14:paraId="5C9F243E">
      <w:pPr>
        <w:keepNext w:val="0"/>
        <w:keepLines w:val="0"/>
        <w:pageBreakBefore w:val="0"/>
        <w:widowControl/>
        <w:kinsoku w:val="0"/>
        <w:wordWrap/>
        <w:overflowPunct/>
        <w:topLinePunct w:val="0"/>
        <w:autoSpaceDE w:val="0"/>
        <w:autoSpaceDN w:val="0"/>
        <w:bidi w:val="0"/>
        <w:adjustRightInd w:val="0"/>
        <w:snapToGrid w:val="0"/>
        <w:spacing w:line="400" w:lineRule="exact"/>
        <w:ind w:firstLine="472" w:firstLineChars="200"/>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（5）编制招标汇编资料，发放中选通知书，协助施工合同的签订；</w:t>
      </w:r>
    </w:p>
    <w:p w14:paraId="2E6CD398">
      <w:pPr>
        <w:keepNext w:val="0"/>
        <w:keepLines w:val="0"/>
        <w:pageBreakBefore w:val="0"/>
        <w:widowControl/>
        <w:kinsoku w:val="0"/>
        <w:wordWrap/>
        <w:overflowPunct/>
        <w:topLinePunct w:val="0"/>
        <w:autoSpaceDE w:val="0"/>
        <w:autoSpaceDN w:val="0"/>
        <w:bidi w:val="0"/>
        <w:adjustRightInd w:val="0"/>
        <w:snapToGrid w:val="0"/>
        <w:spacing w:line="400" w:lineRule="exact"/>
        <w:ind w:firstLine="472" w:firstLineChars="200"/>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（6）不定期的对遴选人工作人员开展业务及政策培训等服务。</w:t>
      </w:r>
    </w:p>
    <w:p w14:paraId="6CA66CA2">
      <w:pPr>
        <w:keepNext w:val="0"/>
        <w:keepLines w:val="0"/>
        <w:pageBreakBefore w:val="0"/>
        <w:widowControl/>
        <w:kinsoku w:val="0"/>
        <w:wordWrap/>
        <w:overflowPunct/>
        <w:topLinePunct w:val="0"/>
        <w:autoSpaceDE w:val="0"/>
        <w:autoSpaceDN w:val="0"/>
        <w:bidi w:val="0"/>
        <w:adjustRightInd w:val="0"/>
        <w:snapToGrid w:val="0"/>
        <w:spacing w:line="400" w:lineRule="exact"/>
        <w:ind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3、人员要求</w:t>
      </w:r>
    </w:p>
    <w:p w14:paraId="3C894846">
      <w:pPr>
        <w:keepNext w:val="0"/>
        <w:keepLines w:val="0"/>
        <w:pageBreakBefore w:val="0"/>
        <w:widowControl/>
        <w:kinsoku w:val="0"/>
        <w:wordWrap/>
        <w:overflowPunct/>
        <w:topLinePunct w:val="0"/>
        <w:autoSpaceDE w:val="0"/>
        <w:autoSpaceDN w:val="0"/>
        <w:bidi w:val="0"/>
        <w:adjustRightInd w:val="0"/>
        <w:snapToGrid w:val="0"/>
        <w:spacing w:line="400" w:lineRule="exact"/>
        <w:ind w:firstLine="472" w:firstLineChars="200"/>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供应商应成立本项目项目团队，项目团队组成人员应与响应文件一致，并指定1名项目负责人，项目负责人须具有有效的一级注册证书并具有中级及以上职称，项目组人员配置人数不低于6人，项目组成员中（项目负责人除外）具备中级及以上职称的人员不低于3人，人员专业配置合理，具有相应资格、专业技术水平及从业经验。(以上人员必须为本单位在职人员，须提供人员证书</w:t>
      </w:r>
      <w:r>
        <w:rPr>
          <w:rFonts w:hint="eastAsia" w:ascii="宋体" w:hAnsi="宋体" w:eastAsia="宋体" w:cs="宋体"/>
          <w:color w:val="auto"/>
          <w:spacing w:val="-2"/>
          <w:sz w:val="24"/>
          <w:szCs w:val="24"/>
          <w:highlight w:val="none"/>
          <w:lang w:eastAsia="zh-CN"/>
        </w:rPr>
        <w:t>、202</w:t>
      </w:r>
      <w:r>
        <w:rPr>
          <w:rFonts w:hint="eastAsia" w:ascii="宋体" w:hAnsi="宋体" w:eastAsia="宋体"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lang w:eastAsia="zh-CN"/>
        </w:rPr>
        <w:t>年1月1日以来至今</w:t>
      </w:r>
      <w:r>
        <w:rPr>
          <w:rFonts w:hint="eastAsia" w:ascii="宋体" w:hAnsi="宋体" w:eastAsia="宋体" w:cs="宋体"/>
          <w:spacing w:val="-2"/>
          <w:sz w:val="24"/>
          <w:szCs w:val="24"/>
          <w:lang w:eastAsia="zh-CN"/>
        </w:rPr>
        <w:t>连续缴纳社保的证明材料)</w:t>
      </w:r>
    </w:p>
    <w:p w14:paraId="361925D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z w:val="24"/>
          <w:szCs w:val="24"/>
          <w:lang w:eastAsia="zh-CN"/>
        </w:rPr>
        <w:t>（2）入围供应商</w:t>
      </w:r>
      <w:r>
        <w:rPr>
          <w:rFonts w:hint="eastAsia" w:ascii="宋体" w:hAnsi="宋体" w:eastAsia="宋体" w:cs="宋体"/>
          <w:spacing w:val="2"/>
          <w:sz w:val="24"/>
          <w:szCs w:val="24"/>
          <w:lang w:eastAsia="zh-CN"/>
        </w:rPr>
        <w:t>必须根据采购需求从项目</w:t>
      </w:r>
      <w:r>
        <w:rPr>
          <w:rFonts w:hint="eastAsia" w:ascii="宋体" w:hAnsi="宋体" w:eastAsia="宋体" w:cs="宋体"/>
          <w:spacing w:val="1"/>
          <w:sz w:val="24"/>
          <w:szCs w:val="24"/>
          <w:lang w:eastAsia="zh-CN"/>
        </w:rPr>
        <w:t>团</w:t>
      </w:r>
      <w:r>
        <w:rPr>
          <w:rFonts w:hint="eastAsia" w:ascii="宋体" w:hAnsi="宋体" w:eastAsia="宋体" w:cs="宋体"/>
          <w:spacing w:val="-2"/>
          <w:sz w:val="24"/>
          <w:szCs w:val="24"/>
          <w:lang w:eastAsia="zh-CN"/>
        </w:rPr>
        <w:t>队中选用适合的人员进行服务。项目团队人员确定后，不得随意更换。如确需更换的，</w:t>
      </w:r>
      <w:r>
        <w:rPr>
          <w:rFonts w:hint="eastAsia" w:ascii="宋体" w:hAnsi="宋体" w:eastAsia="宋体" w:cs="宋体"/>
          <w:spacing w:val="3"/>
          <w:sz w:val="24"/>
          <w:szCs w:val="24"/>
          <w:lang w:eastAsia="zh-CN"/>
        </w:rPr>
        <w:t>需书面报告并经征集人同意，否则，征集人</w:t>
      </w:r>
      <w:r>
        <w:rPr>
          <w:rFonts w:hint="eastAsia" w:ascii="宋体" w:hAnsi="宋体" w:eastAsia="宋体" w:cs="宋体"/>
          <w:spacing w:val="-2"/>
          <w:sz w:val="24"/>
          <w:szCs w:val="24"/>
          <w:lang w:eastAsia="zh-CN"/>
        </w:rPr>
        <w:t>有权终止合同。</w:t>
      </w:r>
    </w:p>
    <w:p w14:paraId="77C7FE7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（3）项目团队人员须执行国家有关规定，具有丰富的代理工作经验，</w:t>
      </w:r>
      <w:r>
        <w:rPr>
          <w:rFonts w:hint="eastAsia" w:ascii="宋体" w:hAnsi="宋体" w:eastAsia="宋体" w:cs="宋体"/>
          <w:spacing w:val="3"/>
          <w:sz w:val="24"/>
          <w:szCs w:val="24"/>
          <w:lang w:eastAsia="zh-CN"/>
        </w:rPr>
        <w:t>能对项目提出合理化建议，供应商应选派有经验、有能力、业务熟练、认真负责，并</w:t>
      </w:r>
      <w:r>
        <w:rPr>
          <w:rFonts w:hint="eastAsia" w:ascii="宋体" w:hAnsi="宋体" w:eastAsia="宋体" w:cs="宋体"/>
          <w:spacing w:val="-1"/>
          <w:sz w:val="24"/>
          <w:szCs w:val="24"/>
          <w:lang w:eastAsia="zh-CN"/>
        </w:rPr>
        <w:t>且数量足够的招标代理专业人员组成项目组为征集人提供优质、高效的代理服务。</w:t>
      </w:r>
    </w:p>
    <w:p w14:paraId="5C2B560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（4）入围供应商应加强对其成员工作纪律、职业道德和廉洁自律等方面的管理。</w:t>
      </w:r>
      <w:r>
        <w:rPr>
          <w:rFonts w:hint="eastAsia" w:ascii="宋体" w:hAnsi="宋体" w:eastAsia="宋体" w:cs="宋体"/>
          <w:spacing w:val="3"/>
          <w:sz w:val="24"/>
          <w:szCs w:val="24"/>
          <w:lang w:eastAsia="zh-CN"/>
        </w:rPr>
        <w:t>如入围供应商所派出项目组人员违反管理规定造成重大损失的，征集人可取消其资格</w:t>
      </w:r>
      <w:r>
        <w:rPr>
          <w:rFonts w:hint="eastAsia" w:ascii="宋体" w:hAnsi="宋体" w:eastAsia="宋体" w:cs="宋体"/>
          <w:spacing w:val="-1"/>
          <w:sz w:val="24"/>
          <w:szCs w:val="24"/>
          <w:lang w:eastAsia="zh-CN"/>
        </w:rPr>
        <w:t>并赔偿相应损失，直至终止合同，构成犯罪的移交司法机关，依法追究刑事责任。</w:t>
      </w:r>
    </w:p>
    <w:p w14:paraId="096036F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（5）拟派项目成员不适应、不胜任服务工作要求的或根据征集人考核情况需要进</w:t>
      </w:r>
      <w:r>
        <w:rPr>
          <w:rFonts w:hint="eastAsia" w:ascii="宋体" w:hAnsi="宋体" w:eastAsia="宋体" w:cs="宋体"/>
          <w:spacing w:val="2"/>
          <w:sz w:val="24"/>
          <w:szCs w:val="24"/>
          <w:lang w:eastAsia="zh-CN"/>
        </w:rPr>
        <w:t>行调换的，由征集人提出后，入围供应商应按照征集人要求三天内调换完毕</w:t>
      </w:r>
      <w:r>
        <w:rPr>
          <w:rFonts w:hint="eastAsia" w:ascii="宋体" w:hAnsi="宋体" w:eastAsia="宋体" w:cs="宋体"/>
          <w:spacing w:val="1"/>
          <w:sz w:val="24"/>
          <w:szCs w:val="24"/>
          <w:lang w:eastAsia="zh-CN"/>
        </w:rPr>
        <w:t>，人员连</w:t>
      </w:r>
      <w:r>
        <w:rPr>
          <w:rFonts w:hint="eastAsia" w:ascii="宋体" w:hAnsi="宋体" w:eastAsia="宋体" w:cs="宋体"/>
          <w:spacing w:val="-1"/>
          <w:sz w:val="24"/>
          <w:szCs w:val="24"/>
          <w:lang w:eastAsia="zh-CN"/>
        </w:rPr>
        <w:t>续调换2次仍不能胜任服务工作要求的，征集人有权中止入围供应商服务资格；</w:t>
      </w:r>
    </w:p>
    <w:p w14:paraId="10591967">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4、服务交付或者实施的地域范围：济宁市。</w:t>
      </w:r>
    </w:p>
    <w:p w14:paraId="1EFFFEEF">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5、框架协议期限：自框架协议签订之日起2年。</w:t>
      </w:r>
    </w:p>
    <w:p w14:paraId="469E6443">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6、入围供应商数量：入围供应商数量上限为</w:t>
      </w:r>
      <w:r>
        <w:rPr>
          <w:rFonts w:hint="eastAsia" w:ascii="宋体" w:hAnsi="宋体" w:eastAsia="宋体" w:cs="宋体"/>
          <w:spacing w:val="-1"/>
          <w:sz w:val="24"/>
          <w:szCs w:val="24"/>
          <w:lang w:val="en-US" w:eastAsia="zh-CN"/>
        </w:rPr>
        <w:t>10</w:t>
      </w:r>
      <w:r>
        <w:rPr>
          <w:rFonts w:hint="eastAsia" w:ascii="宋体" w:hAnsi="宋体" w:eastAsia="宋体" w:cs="宋体"/>
          <w:spacing w:val="-1"/>
          <w:sz w:val="24"/>
          <w:szCs w:val="24"/>
          <w:lang w:eastAsia="zh-CN"/>
        </w:rPr>
        <w:t>家。</w:t>
      </w:r>
    </w:p>
    <w:p w14:paraId="7DB28E55">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宋体" w:hAnsi="宋体" w:eastAsia="宋体" w:cs="宋体"/>
          <w:spacing w:val="-1"/>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spacing w:val="-1"/>
          <w:sz w:val="24"/>
          <w:szCs w:val="24"/>
          <w:lang w:eastAsia="zh-CN"/>
          <w14:textOutline w14:w="4356" w14:cap="sq" w14:cmpd="sng" w14:algn="ctr">
            <w14:solidFill>
              <w14:srgbClr w14:val="000000"/>
            </w14:solidFill>
            <w14:prstDash w14:val="solid"/>
            <w14:bevel/>
          </w14:textOutline>
        </w:rPr>
        <w:t>二、确定第二阶段成交供应商的方式</w:t>
      </w:r>
    </w:p>
    <w:p w14:paraId="526E530E">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1、招标代理费服务内容及计价依据</w:t>
      </w:r>
    </w:p>
    <w:p w14:paraId="14705987">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招标代理费包含招标文件编制、开评标全过程费用及招标控制价（工程量清单）编制费用（控制价编制费用最终结算以实际编制总价为准，并参照《山东省建设工程工程量清单编制等计价项目造价咨询服务收费标准》30%计费）。其中招标文件编制、开评标全过程费用收费标准参照《山东省招标代理服务收费指导意见》（鲁招协{2024}13号）有关规定执行代理服务费按收费标准的30%计费，不足3000元，按照3000元计取服务费。招标控制价（工程量清单）编制费用收费标准参照鲁价费发{2007}205号《山东省建设工程工程量清单编制等计价项目造价咨询服务收费标准》30%计费。招标代理服务费应在完成评标全过程服务后支付；招标控制价（工程量清单）编制费用应在完成国资评审服务后支付。最终支付工程量清单编制费用：最终支付工程量清单编制费用=招标控制价工程量清单编制报价费用×（1-国资评审价/招标控制价×100%）。</w:t>
      </w:r>
    </w:p>
    <w:p w14:paraId="4F609B67">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lang w:eastAsia="zh-CN"/>
        </w:rPr>
        <w:t>依据入围供应商的服务质量以及服务便利性、用户评价等因素，从第一阶段入围供应商中按照以下方式选定。</w:t>
      </w:r>
    </w:p>
    <w:p w14:paraId="6E7F7C35">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单个项目控制价合计大于等于5000元采用一事一议询价方式，由服务商库内单位报价，按照合理低价法的方式确定，评标基准价由招标控制价、投标平均值及系数组成。其中招标控制价由集团确定的招标代理服务费计价依据算出；投标平均值为所有投标报价中去掉最高价、最低价后的算术平均值；评标系数K由现场随机抽取，评标基准价=平均值×系数K1+控制价×系数K2。K1的取值范围为10%、20%、30%、40%、50%、70%、80%、90%中随机抽取确定；K2值为（1-K1数值）。K1在开标时现场随机抽取确定。</w:t>
      </w:r>
    </w:p>
    <w:p w14:paraId="119D80A1">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单位报价与评标基准价的差值为报价偏离值，按照报价偏离值由小到大的顺序，报价低于评标基准价偏离值最小的单位为本项目服务单位。如偏离值相同，则采取现场再次报价方式，直至现场确定最低报价服务单位。中标单位轮空下一轮报价投标，如没有单位参加报价，控制价招标人可根据业务能力指定或随机抽取的方式确定服务单位(由集团综合管理部选择确定方式)。</w:t>
      </w:r>
    </w:p>
    <w:p w14:paraId="1F838A0B">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单个项目预算金额在1000万元以下的，招标代理费包含招标文件编制、招标控制价(工程量清单)编制及开评标全过程费用；单个项目预算金额1000万至5000万元的招标代理费报价差额需要保留到千元；5000万元以上的招标代理费报价差额精确到万元。</w:t>
      </w:r>
    </w:p>
    <w:p w14:paraId="14F3A8FC">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单个项目服务费合计小于5000元采用从服务商库内单位中随机方式确定服务单位。项目采用现场摇号机抽取方式确定，分配采用抽签轮回制，即取得项目的单位不再参与下一个项目抽签活动，直至服务商库内单位抽完为止。服务质量、项目团队实力将是项目分配的重要考虑因素。</w:t>
      </w:r>
    </w:p>
    <w:p w14:paraId="3A19503D">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单个项目预算金额在1亿元以上的三重一大投资项目，由集团综合部全程监督招投标流程。</w:t>
      </w:r>
    </w:p>
    <w:p w14:paraId="442CC6DE">
      <w:pPr>
        <w:keepNext w:val="0"/>
        <w:keepLines w:val="0"/>
        <w:pageBreakBefore w:val="0"/>
        <w:widowControl/>
        <w:kinsoku w:val="0"/>
        <w:wordWrap/>
        <w:overflowPunct/>
        <w:topLinePunct w:val="0"/>
        <w:autoSpaceDE w:val="0"/>
        <w:autoSpaceDN w:val="0"/>
        <w:bidi w:val="0"/>
        <w:adjustRightInd w:val="0"/>
        <w:snapToGrid w:val="0"/>
        <w:spacing w:line="400" w:lineRule="exact"/>
        <w:ind w:firstLine="468" w:firstLineChars="20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14:textOutline w14:w="4356" w14:cap="sq" w14:cmpd="sng" w14:algn="ctr">
            <w14:solidFill>
              <w14:srgbClr w14:val="000000"/>
            </w14:solidFill>
            <w14:prstDash w14:val="solid"/>
            <w14:bevel/>
          </w14:textOutline>
        </w:rPr>
        <w:t>三、回避要求</w:t>
      </w:r>
    </w:p>
    <w:p w14:paraId="42A8A502">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若入围供应商与服务项目有其他利害关系的，可能影响公正、公平的情形，</w:t>
      </w:r>
      <w:r>
        <w:rPr>
          <w:rFonts w:hint="eastAsia" w:ascii="宋体" w:hAnsi="宋体" w:eastAsia="宋体" w:cs="宋体"/>
          <w:sz w:val="24"/>
          <w:szCs w:val="24"/>
          <w:lang w:eastAsia="zh-CN"/>
        </w:rPr>
        <w:t>应主动提出回避要求，不得作为该项目的服务</w:t>
      </w:r>
      <w:r>
        <w:rPr>
          <w:rFonts w:hint="eastAsia" w:ascii="宋体" w:hAnsi="宋体" w:eastAsia="宋体" w:cs="宋体"/>
          <w:spacing w:val="-1"/>
          <w:sz w:val="24"/>
          <w:szCs w:val="24"/>
          <w:lang w:eastAsia="zh-CN"/>
        </w:rPr>
        <w:t>机构，并应提供回避事项的证明文件。</w:t>
      </w:r>
    </w:p>
    <w:p w14:paraId="1DFE729C">
      <w:pPr>
        <w:keepNext w:val="0"/>
        <w:keepLines w:val="0"/>
        <w:pageBreakBefore w:val="0"/>
        <w:widowControl/>
        <w:kinsoku w:val="0"/>
        <w:wordWrap/>
        <w:overflowPunct/>
        <w:topLinePunct w:val="0"/>
        <w:autoSpaceDE w:val="0"/>
        <w:autoSpaceDN w:val="0"/>
        <w:bidi w:val="0"/>
        <w:adjustRightInd w:val="0"/>
        <w:snapToGrid w:val="0"/>
        <w:spacing w:line="400" w:lineRule="exact"/>
        <w:ind w:firstLine="468" w:firstLineChars="200"/>
        <w:textAlignment w:val="baseline"/>
        <w:rPr>
          <w:rFonts w:hint="eastAsia" w:ascii="宋体" w:hAnsi="宋体" w:eastAsia="宋体" w:cs="宋体"/>
          <w:spacing w:val="-3"/>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spacing w:val="-3"/>
          <w:sz w:val="24"/>
          <w:szCs w:val="24"/>
          <w:lang w:eastAsia="zh-CN"/>
          <w14:textOutline w14:w="4356" w14:cap="sq" w14:cmpd="sng" w14:algn="ctr">
            <w14:solidFill>
              <w14:srgbClr w14:val="000000"/>
            </w14:solidFill>
            <w14:prstDash w14:val="solid"/>
            <w14:bevel/>
          </w14:textOutline>
        </w:rPr>
        <w:t>四、框架协议采购相关要求</w:t>
      </w:r>
    </w:p>
    <w:p w14:paraId="6CDA2DD3">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1、框架协议第一阶段入围供应商数量上限：</w:t>
      </w:r>
      <w:r>
        <w:rPr>
          <w:rFonts w:hint="eastAsia" w:ascii="宋体" w:hAnsi="宋体" w:eastAsia="宋体" w:cs="宋体"/>
          <w:spacing w:val="2"/>
          <w:sz w:val="24"/>
          <w:szCs w:val="24"/>
          <w:lang w:val="en-US" w:eastAsia="zh-CN"/>
        </w:rPr>
        <w:t>10</w:t>
      </w:r>
      <w:r>
        <w:rPr>
          <w:rFonts w:hint="eastAsia" w:ascii="宋体" w:hAnsi="宋体" w:eastAsia="宋体" w:cs="宋体"/>
          <w:spacing w:val="2"/>
          <w:sz w:val="24"/>
          <w:szCs w:val="24"/>
          <w:lang w:eastAsia="zh-CN"/>
        </w:rPr>
        <w:t>家。</w:t>
      </w:r>
    </w:p>
    <w:p w14:paraId="41601EDD">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2、建立用户反馈和评价机制，接受征集人和服务对象对入围供应商履行框架协议和采购合同情况的反馈与评价，并将用户反馈和评价情况向征集人和服务对象公开，作为第二阶段直接选定成交供应商的参考。</w:t>
      </w:r>
    </w:p>
    <w:p w14:paraId="073374B1">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3、入围供应商的清退和补充规则</w:t>
      </w:r>
    </w:p>
    <w:p w14:paraId="6DC83786">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入围供应商有下列情形之一，尚未签订框架协议的，取消其入围资格；已经签订框架协议的，解除与其签订的框架协议：</w:t>
      </w:r>
    </w:p>
    <w:p w14:paraId="1ACD10BC">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(一)恶意串通谋取入围或者合同成交的；</w:t>
      </w:r>
    </w:p>
    <w:p w14:paraId="19A9ED34">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(二)提供虚假材料谋取入围或者合同成交的；</w:t>
      </w:r>
    </w:p>
    <w:p w14:paraId="4F381ADE">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(三)无正当理由拒不接受合同授予的；</w:t>
      </w:r>
    </w:p>
    <w:p w14:paraId="0908329B">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(四)不履行合同义务或者履行合同义务不符合约定，经征集人请求履行后仍不履行或者仍未按约定履行的；</w:t>
      </w:r>
    </w:p>
    <w:p w14:paraId="1CFCE82C">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(五)框架协议有效期内，因违法行为被禁止或限制参加政府采购活动的；</w:t>
      </w:r>
    </w:p>
    <w:p w14:paraId="5308D470">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(六)框架协议约定的其他情形。</w:t>
      </w:r>
    </w:p>
    <w:p w14:paraId="18C20DA0">
      <w:pPr>
        <w:keepNext w:val="0"/>
        <w:keepLines w:val="0"/>
        <w:pageBreakBefore w:val="0"/>
        <w:widowControl/>
        <w:kinsoku w:val="0"/>
        <w:wordWrap/>
        <w:overflowPunct/>
        <w:topLinePunct w:val="0"/>
        <w:autoSpaceDE w:val="0"/>
        <w:autoSpaceDN w:val="0"/>
        <w:bidi w:val="0"/>
        <w:adjustRightInd w:val="0"/>
        <w:snapToGrid w:val="0"/>
        <w:spacing w:line="400" w:lineRule="exact"/>
        <w:ind w:firstLine="468" w:firstLineChars="200"/>
        <w:textAlignment w:val="baseline"/>
        <w:rPr>
          <w:rFonts w:hint="eastAsia" w:ascii="宋体" w:hAnsi="宋体" w:eastAsia="宋体" w:cs="宋体"/>
          <w:spacing w:val="-3"/>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spacing w:val="-3"/>
          <w:sz w:val="24"/>
          <w:szCs w:val="24"/>
          <w:lang w:eastAsia="zh-CN"/>
          <w14:textOutline w14:w="4356" w14:cap="sq" w14:cmpd="sng" w14:algn="ctr">
            <w14:solidFill>
              <w14:srgbClr w14:val="000000"/>
            </w14:solidFill>
            <w14:prstDash w14:val="solid"/>
            <w14:bevel/>
          </w14:textOutline>
        </w:rPr>
        <w:t>五、商务要求</w:t>
      </w:r>
    </w:p>
    <w:p w14:paraId="25B755CD">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1、框架协议期限：框架协议签订之日起2年。</w:t>
      </w:r>
    </w:p>
    <w:p w14:paraId="71275B7E">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2、付款方式：合同签订后，乙方在按照本合同约定，双方签订具体项目的委托招标代理协议。</w:t>
      </w:r>
    </w:p>
    <w:p w14:paraId="3A851EFD">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b/>
          <w:bCs/>
          <w:spacing w:val="2"/>
          <w:sz w:val="24"/>
          <w:szCs w:val="24"/>
          <w:lang w:eastAsia="zh-CN"/>
        </w:rPr>
      </w:pPr>
      <w:r>
        <w:rPr>
          <w:rFonts w:hint="eastAsia" w:ascii="宋体" w:hAnsi="宋体" w:eastAsia="宋体" w:cs="宋体"/>
          <w:spacing w:val="2"/>
          <w:sz w:val="24"/>
          <w:szCs w:val="24"/>
          <w:lang w:eastAsia="zh-CN"/>
        </w:rPr>
        <w:t>3、供应商报价要求：</w:t>
      </w:r>
      <w:r>
        <w:rPr>
          <w:rFonts w:hint="eastAsia" w:ascii="宋体" w:hAnsi="宋体" w:eastAsia="宋体" w:cs="宋体"/>
          <w:b/>
          <w:bCs/>
          <w:spacing w:val="2"/>
          <w:sz w:val="24"/>
          <w:szCs w:val="24"/>
          <w:lang w:eastAsia="zh-CN"/>
        </w:rPr>
        <w:t>（注：供应商无须竞报服务价格，不按照该报价响应的否决其报价）</w:t>
      </w:r>
    </w:p>
    <w:p w14:paraId="77D4BD8A">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报价要求：我单位承诺参照《山东省招标代理服务收费指导意见》（鲁招协〔2025〕13号）有关规定，代理服务费按该收费标准的</w:t>
      </w:r>
      <w:r>
        <w:rPr>
          <w:rFonts w:hint="eastAsia" w:ascii="宋体" w:hAnsi="宋体" w:eastAsia="宋体" w:cs="宋体"/>
          <w:spacing w:val="2"/>
          <w:sz w:val="24"/>
          <w:szCs w:val="24"/>
          <w:u w:val="single"/>
          <w:lang w:eastAsia="zh-CN"/>
        </w:rPr>
        <w:t xml:space="preserve"> 30 </w:t>
      </w:r>
      <w:r>
        <w:rPr>
          <w:rFonts w:hint="eastAsia" w:ascii="宋体" w:hAnsi="宋体" w:eastAsia="宋体" w:cs="宋体"/>
          <w:spacing w:val="2"/>
          <w:sz w:val="24"/>
          <w:szCs w:val="24"/>
          <w:lang w:eastAsia="zh-CN"/>
        </w:rPr>
        <w:t>%结算，不足3000元，按照3000元计取服务费。</w:t>
      </w:r>
    </w:p>
    <w:p w14:paraId="12FB1668">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（1）单个项目预算金额在1000万元以下的，招标代理费包含招标文件编制、招标控制价（工程量清单）编制及开评标全过程费用；</w:t>
      </w:r>
    </w:p>
    <w:p w14:paraId="762CE69F">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单个项目预算金额在1000万元及以上的，招标代理费包含招标文件编制及开评标全过程费用，招标控制价（工程量清单）编制另行收费，收费标准参照鲁价费发〔2007〕205号《山东省建设工程工程量清单编制等计价项目造价咨询服务收费标准》30%计算。</w:t>
      </w:r>
    </w:p>
    <w:p w14:paraId="52196F7E">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4、服务要求</w:t>
      </w:r>
    </w:p>
    <w:p w14:paraId="0C677FDD">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根据《中华人民共和国政府采购法》、《中华人民共和国招投标法》、《政府采购代理机构管理暂行办法》等规定，对招标代理机构要求及说明如下：</w:t>
      </w:r>
    </w:p>
    <w:p w14:paraId="72E59398">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（1）委托代理机构须指定1-2名主办人负责委托项目的具体事宜。</w:t>
      </w:r>
    </w:p>
    <w:p w14:paraId="557146B2">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（2）协议期内，招标代理机构如被监管部门处罚，则自动失去代理资格。在代理过程中业务不精通，征集人评价差，存在不规范操作等问题的，有权单方减少直至取消代理项目。</w:t>
      </w:r>
    </w:p>
    <w:p w14:paraId="7008D033">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（3）招标代理机构存在违规或未按代理合同要求收取代理费用，将取消其代理资格并记入黑名单。</w:t>
      </w:r>
    </w:p>
    <w:p w14:paraId="33353453">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（4）不保证代理机构代理采购项目数量。将根据实际情况安排招标代理项目，但不包括所有的项目。</w:t>
      </w:r>
    </w:p>
    <w:p w14:paraId="64B0D240">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（5）获得招标代理服务机构不得转让委托采购项目任何的权利和义务。否则，取消其代理资格，造成损失的依法追究责任。</w:t>
      </w:r>
    </w:p>
    <w:p w14:paraId="161A19AD">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（6）在协议期间，因出现招标代理机构违约被取消资格，或征集人招标业务范围扩展等需要，征集人可通过招标方式补充或增加协议供应商。</w:t>
      </w:r>
    </w:p>
    <w:p w14:paraId="25CE15D2">
      <w:pPr>
        <w:keepNext w:val="0"/>
        <w:keepLines w:val="0"/>
        <w:pageBreakBefore w:val="0"/>
        <w:widowControl/>
        <w:kinsoku w:val="0"/>
        <w:wordWrap/>
        <w:overflowPunct/>
        <w:topLinePunct w:val="0"/>
        <w:autoSpaceDE w:val="0"/>
        <w:autoSpaceDN w:val="0"/>
        <w:bidi w:val="0"/>
        <w:adjustRightInd w:val="0"/>
        <w:snapToGrid w:val="0"/>
        <w:spacing w:line="400" w:lineRule="exact"/>
        <w:ind w:firstLine="468" w:firstLineChars="200"/>
        <w:textAlignment w:val="baseline"/>
        <w:rPr>
          <w:rFonts w:hint="eastAsia" w:ascii="宋体" w:hAnsi="宋体" w:eastAsia="宋体" w:cs="宋体"/>
          <w:spacing w:val="-3"/>
          <w:sz w:val="24"/>
          <w:szCs w:val="24"/>
          <w:lang w:eastAsia="zh-CN"/>
          <w14:textOutline w14:w="4356" w14:cap="sq" w14:cmpd="sng" w14:algn="ctr">
            <w14:solidFill>
              <w14:srgbClr w14:val="000000"/>
            </w14:solidFill>
            <w14:prstDash w14:val="solid"/>
            <w14:bevel/>
          </w14:textOutline>
        </w:rPr>
      </w:pPr>
      <w:bookmarkStart w:id="6" w:name="_Toc365387627"/>
      <w:r>
        <w:rPr>
          <w:rFonts w:hint="eastAsia" w:ascii="宋体" w:hAnsi="宋体" w:eastAsia="宋体" w:cs="宋体"/>
          <w:spacing w:val="-3"/>
          <w:sz w:val="24"/>
          <w:szCs w:val="24"/>
          <w:lang w:eastAsia="zh-CN"/>
          <w14:textOutline w14:w="4356" w14:cap="sq" w14:cmpd="sng" w14:algn="ctr">
            <w14:solidFill>
              <w14:srgbClr w14:val="000000"/>
            </w14:solidFill>
            <w14:prstDash w14:val="solid"/>
            <w14:bevel/>
          </w14:textOutline>
        </w:rPr>
        <w:t>六、代理费及说明</w:t>
      </w:r>
    </w:p>
    <w:p w14:paraId="303673D6">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代理费为采购项目的包干费用（包括采购文件编制、咨询、送审、备案、上网公告、组织开标、评标、定标、评审费、受理质疑与投诉、发出中标通知书、整理档案、资料汇编、拷贝开标评标现场音像（U盘）以及与办理该项目相关的各种手续等）。</w:t>
      </w:r>
    </w:p>
    <w:p w14:paraId="21D43343">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2、评审费已包含在代理费中委托代理机构发放。</w:t>
      </w:r>
    </w:p>
    <w:bookmarkEnd w:id="6"/>
    <w:p w14:paraId="48608462">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3、因特殊需要另行租用场地所需费用已包含在代理费中。</w:t>
      </w:r>
    </w:p>
    <w:p w14:paraId="7F62BA44">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4、考核评价</w:t>
      </w:r>
    </w:p>
    <w:p w14:paraId="2E73FC89">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招标代理服务商库实行动态管理，有下列情况之一的，取消资格。</w:t>
      </w:r>
    </w:p>
    <w:p w14:paraId="5E14AF61">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（1）招标代理服务商违反有关法律法规，被司法部门和行业主管部门处罚的；</w:t>
      </w:r>
    </w:p>
    <w:p w14:paraId="4789B943">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（2）招标代理服务商出具的专业报告存在重大遗漏或虚假记载、严重失实的；</w:t>
      </w:r>
    </w:p>
    <w:p w14:paraId="3B1C4897">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（3）招标代理服务商不按协议和工作方案的要求开展工作，经公司提出整改意见而未整改，并影响正常业务工作开展的；</w:t>
      </w:r>
    </w:p>
    <w:p w14:paraId="43221A72">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（4）对公司委托的招标代理服务项目，转包给其他招标代理服务机构牟利的；</w:t>
      </w:r>
    </w:p>
    <w:p w14:paraId="47455FB5">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（5）其它我司认为需要解除合作的情况。</w:t>
      </w:r>
      <w:r>
        <w:rPr>
          <w:rFonts w:hint="eastAsia" w:ascii="宋体" w:hAnsi="宋体" w:eastAsia="宋体" w:cs="宋体"/>
          <w:spacing w:val="2"/>
          <w:sz w:val="24"/>
          <w:szCs w:val="24"/>
          <w:lang w:eastAsia="zh-CN"/>
        </w:rPr>
        <w:tab/>
      </w:r>
    </w:p>
    <w:p w14:paraId="57439F98">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5、考核办法</w:t>
      </w:r>
    </w:p>
    <w:p w14:paraId="18DA612E">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（1）招标代理服务商受公司委托所从事的每一笔招标、非招标方式采购活动，公司实行一单一评价的考核办法，以打分形式进行服务质量评价。</w:t>
      </w:r>
    </w:p>
    <w:p w14:paraId="432BE6CB">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（2）同时每个年度集团将组织各二级公司相关人员对服务商服务情况进行评估，对评估成绩不合格的服务商实行淘汰，连续2年评估成绩优秀服务商直接入围下一年度集团服务商库。</w:t>
      </w:r>
    </w:p>
    <w:p w14:paraId="66D8E5FC">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6、结果运用</w:t>
      </w:r>
    </w:p>
    <w:p w14:paraId="62B65BC5">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（1）代理服务机构所代理的项目，单次考核得分低于六十分(含)的，自评分结果确定之日起一年内，代理服务机构不得从事我公司的代理服务活动;</w:t>
      </w:r>
    </w:p>
    <w:p w14:paraId="55F6D8B9">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（2）代理服务机构所代理的项目，单次考核得分六十分(不含)以上八十分(含)以下的，自评分结果确定之日起半年内，代理服务机构不得从事我公司代理服务活动;</w:t>
      </w:r>
    </w:p>
    <w:p w14:paraId="519CB2FE">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（3）代理服务机构所代理的项目，单次考核得分在八十分(不含)以上九十分(含)以下的，自评分结果确认之日起一个月内，代理服务机构不得从事我公司的代理服务活动；</w:t>
      </w:r>
    </w:p>
    <w:p w14:paraId="032737C9">
      <w:pPr>
        <w:keepNext w:val="0"/>
        <w:keepLines w:val="0"/>
        <w:pageBreakBefore w:val="0"/>
        <w:widowControl/>
        <w:kinsoku w:val="0"/>
        <w:wordWrap/>
        <w:overflowPunct/>
        <w:topLinePunct w:val="0"/>
        <w:autoSpaceDE w:val="0"/>
        <w:autoSpaceDN w:val="0"/>
        <w:bidi w:val="0"/>
        <w:adjustRightInd w:val="0"/>
        <w:snapToGrid w:val="0"/>
        <w:spacing w:line="400" w:lineRule="exact"/>
        <w:ind w:firstLine="488"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（4）代理服务机构所代理的项目，单次考核得分在九十分以上的，可继续有资格受委托从事下一笔代理服务活动。</w:t>
      </w:r>
    </w:p>
    <w:p w14:paraId="787B8750">
      <w:pPr>
        <w:rPr>
          <w:rFonts w:hint="eastAsia" w:ascii="宋体" w:hAnsi="宋体" w:eastAsia="宋体" w:cs="宋体"/>
          <w:spacing w:val="-2"/>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spacing w:val="-2"/>
          <w:sz w:val="24"/>
          <w:szCs w:val="24"/>
          <w:lang w:eastAsia="zh-CN"/>
          <w14:textOutline w14:w="4356" w14:cap="sq" w14:cmpd="sng" w14:algn="ctr">
            <w14:solidFill>
              <w14:srgbClr w14:val="000000"/>
            </w14:solidFill>
            <w14:prstDash w14:val="solid"/>
            <w14:bevel/>
          </w14:textOutline>
        </w:rPr>
        <w:br w:type="page"/>
      </w:r>
    </w:p>
    <w:p w14:paraId="157211BD">
      <w:pPr>
        <w:pStyle w:val="8"/>
        <w:ind w:firstLine="210"/>
        <w:rPr>
          <w:rFonts w:hint="eastAsia" w:ascii="宋体" w:hAnsi="宋体" w:eastAsia="宋体" w:cs="宋体"/>
        </w:rPr>
      </w:pPr>
    </w:p>
    <w:p w14:paraId="6DE870A4">
      <w:pPr>
        <w:pStyle w:val="2"/>
        <w:bidi w:val="0"/>
        <w:rPr>
          <w:rFonts w:hint="eastAsia"/>
          <w:lang w:eastAsia="zh-CN"/>
        </w:rPr>
      </w:pPr>
      <w:bookmarkStart w:id="7" w:name="bookmark4"/>
      <w:bookmarkEnd w:id="7"/>
      <w:bookmarkStart w:id="8" w:name="_Toc26512"/>
      <w:r>
        <w:rPr>
          <w:rFonts w:hint="eastAsia"/>
          <w:lang w:eastAsia="zh-CN"/>
        </w:rPr>
        <w:t>第四章  评分办法</w:t>
      </w:r>
      <w:bookmarkEnd w:id="8"/>
    </w:p>
    <w:p w14:paraId="4F7674BF">
      <w:pPr>
        <w:spacing w:line="360" w:lineRule="auto"/>
        <w:ind w:firstLine="476" w:firstLineChars="200"/>
        <w:jc w:val="both"/>
        <w:rPr>
          <w:rFonts w:hint="eastAsia" w:ascii="宋体" w:hAnsi="宋体" w:eastAsia="宋体" w:cs="宋体"/>
          <w:spacing w:val="-1"/>
          <w:sz w:val="24"/>
          <w:szCs w:val="24"/>
          <w:lang w:eastAsia="zh-CN"/>
        </w:rPr>
      </w:pPr>
    </w:p>
    <w:p w14:paraId="5ED614E8">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jc w:val="both"/>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本次评审采用质量优先法，将依据供应商响应文件对其服务内容、服务水平、履约能力、服务经验等进行质量综合评分。每一供应商的最终得分为所有评委评分的算术平均值。按评审得分由高到低顺序排列。</w:t>
      </w:r>
    </w:p>
    <w:p w14:paraId="2DCB3C51">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（1）如评审得分相同，由评审委员会按投票的方式确定排列次序，确定入围供应商。</w:t>
      </w:r>
    </w:p>
    <w:p w14:paraId="67BBF16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（2）入围供应商推荐规则：通过实质性响应的供应商不少于3家，否则废标。入围供应商数量上限为10家。</w:t>
      </w:r>
      <w:r>
        <w:rPr>
          <w:rFonts w:hint="eastAsia" w:ascii="宋体" w:hAnsi="宋体" w:eastAsia="宋体" w:cs="宋体"/>
          <w:spacing w:val="-1"/>
          <w:sz w:val="24"/>
          <w:szCs w:val="24"/>
          <w:lang w:eastAsia="zh-CN"/>
        </w:rPr>
        <w:br w:type="page"/>
      </w:r>
    </w:p>
    <w:p w14:paraId="0BA26EF7">
      <w:pPr>
        <w:keepNext w:val="0"/>
        <w:keepLines w:val="0"/>
        <w:pageBreakBefore w:val="0"/>
        <w:widowControl/>
        <w:kinsoku w:val="0"/>
        <w:wordWrap/>
        <w:overflowPunct/>
        <w:topLinePunct w:val="0"/>
        <w:autoSpaceDE w:val="0"/>
        <w:autoSpaceDN w:val="0"/>
        <w:bidi w:val="0"/>
        <w:adjustRightInd w:val="0"/>
        <w:snapToGrid w:val="0"/>
        <w:spacing w:line="400" w:lineRule="exact"/>
        <w:ind w:firstLine="478" w:firstLineChars="200"/>
        <w:jc w:val="both"/>
        <w:textAlignment w:val="baseline"/>
        <w:rPr>
          <w:rFonts w:hint="eastAsia" w:ascii="宋体" w:hAnsi="宋体" w:eastAsia="宋体" w:cs="宋体"/>
          <w:b/>
          <w:bCs/>
          <w:spacing w:val="-1"/>
          <w:sz w:val="24"/>
          <w:szCs w:val="24"/>
        </w:rPr>
      </w:pPr>
      <w:r>
        <w:rPr>
          <w:rFonts w:hint="eastAsia" w:ascii="宋体" w:hAnsi="宋体" w:eastAsia="宋体" w:cs="宋体"/>
          <w:b/>
          <w:bCs/>
          <w:spacing w:val="-1"/>
          <w:sz w:val="24"/>
          <w:szCs w:val="24"/>
          <w:lang w:eastAsia="zh-CN"/>
        </w:rPr>
        <w:drawing>
          <wp:anchor distT="0" distB="0" distL="0" distR="0" simplePos="0" relativeHeight="251659264" behindDoc="0" locked="0" layoutInCell="0" allowOverlap="1">
            <wp:simplePos x="0" y="0"/>
            <wp:positionH relativeFrom="page">
              <wp:posOffset>7565390</wp:posOffset>
            </wp:positionH>
            <wp:positionV relativeFrom="page">
              <wp:posOffset>201930</wp:posOffset>
            </wp:positionV>
            <wp:extent cx="6350" cy="266700"/>
            <wp:effectExtent l="0" t="0" r="1270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
                    <a:stretch>
                      <a:fillRect/>
                    </a:stretch>
                  </pic:blipFill>
                  <pic:spPr>
                    <a:xfrm>
                      <a:off x="0" y="0"/>
                      <a:ext cx="6350" cy="266445"/>
                    </a:xfrm>
                    <a:prstGeom prst="rect">
                      <a:avLst/>
                    </a:prstGeom>
                  </pic:spPr>
                </pic:pic>
              </a:graphicData>
            </a:graphic>
          </wp:anchor>
        </w:drawing>
      </w:r>
      <w:r>
        <w:rPr>
          <w:rFonts w:hint="eastAsia" w:ascii="宋体" w:hAnsi="宋体" w:eastAsia="宋体" w:cs="宋体"/>
          <w:b/>
          <w:bCs/>
          <w:spacing w:val="-1"/>
          <w:sz w:val="24"/>
          <w:szCs w:val="24"/>
          <w:lang w:eastAsia="zh-CN"/>
        </w:rPr>
        <w:t>评分标准：</w:t>
      </w:r>
    </w:p>
    <w:tbl>
      <w:tblPr>
        <w:tblStyle w:val="15"/>
        <w:tblW w:w="47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30"/>
        <w:gridCol w:w="1233"/>
        <w:gridCol w:w="665"/>
        <w:gridCol w:w="6375"/>
      </w:tblGrid>
      <w:tr w14:paraId="764C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505" w:type="pct"/>
            <w:tcMar>
              <w:left w:w="57" w:type="dxa"/>
              <w:right w:w="57" w:type="dxa"/>
            </w:tcMar>
            <w:vAlign w:val="center"/>
          </w:tcPr>
          <w:p w14:paraId="3DDC81C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sz w:val="24"/>
                <w:szCs w:val="24"/>
              </w:rPr>
            </w:pPr>
            <w:r>
              <w:rPr>
                <w:rFonts w:hint="eastAsia" w:ascii="宋体" w:hAnsi="宋体" w:eastAsia="宋体" w:cs="宋体"/>
                <w:b/>
                <w:sz w:val="24"/>
                <w:szCs w:val="24"/>
              </w:rPr>
              <w:t>序号</w:t>
            </w:r>
          </w:p>
        </w:tc>
        <w:tc>
          <w:tcPr>
            <w:tcW w:w="669" w:type="pct"/>
            <w:tcMar>
              <w:left w:w="57" w:type="dxa"/>
              <w:right w:w="57" w:type="dxa"/>
            </w:tcMar>
            <w:vAlign w:val="center"/>
          </w:tcPr>
          <w:p w14:paraId="5B516EF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sz w:val="24"/>
                <w:szCs w:val="24"/>
              </w:rPr>
            </w:pPr>
            <w:r>
              <w:rPr>
                <w:rFonts w:hint="eastAsia" w:ascii="宋体" w:hAnsi="宋体" w:eastAsia="宋体" w:cs="宋体"/>
                <w:b/>
                <w:sz w:val="24"/>
                <w:szCs w:val="24"/>
              </w:rPr>
              <w:t>评审内容</w:t>
            </w:r>
          </w:p>
        </w:tc>
        <w:tc>
          <w:tcPr>
            <w:tcW w:w="361" w:type="pct"/>
            <w:tcMar>
              <w:left w:w="57" w:type="dxa"/>
              <w:right w:w="57" w:type="dxa"/>
            </w:tcMar>
            <w:vAlign w:val="center"/>
          </w:tcPr>
          <w:p w14:paraId="34CFECE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sz w:val="24"/>
                <w:szCs w:val="24"/>
              </w:rPr>
            </w:pPr>
            <w:r>
              <w:rPr>
                <w:rFonts w:hint="eastAsia" w:ascii="宋体" w:hAnsi="宋体" w:eastAsia="宋体" w:cs="宋体"/>
                <w:b/>
                <w:sz w:val="24"/>
                <w:szCs w:val="24"/>
              </w:rPr>
              <w:t>分值</w:t>
            </w:r>
          </w:p>
        </w:tc>
        <w:tc>
          <w:tcPr>
            <w:tcW w:w="3463" w:type="pct"/>
            <w:tcMar>
              <w:left w:w="57" w:type="dxa"/>
              <w:right w:w="57" w:type="dxa"/>
            </w:tcMar>
            <w:vAlign w:val="center"/>
          </w:tcPr>
          <w:p w14:paraId="6F9299E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sz w:val="24"/>
                <w:szCs w:val="24"/>
              </w:rPr>
            </w:pPr>
            <w:r>
              <w:rPr>
                <w:rFonts w:hint="eastAsia" w:ascii="宋体" w:hAnsi="宋体" w:eastAsia="宋体" w:cs="宋体"/>
                <w:b/>
                <w:bCs/>
                <w:sz w:val="24"/>
                <w:szCs w:val="24"/>
              </w:rPr>
              <w:t>评分因素</w:t>
            </w:r>
          </w:p>
        </w:tc>
      </w:tr>
      <w:tr w14:paraId="16C0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98" w:hRule="atLeast"/>
          <w:jc w:val="center"/>
        </w:trPr>
        <w:tc>
          <w:tcPr>
            <w:tcW w:w="505" w:type="pct"/>
            <w:vMerge w:val="restart"/>
            <w:tcMar>
              <w:left w:w="57" w:type="dxa"/>
              <w:right w:w="57" w:type="dxa"/>
            </w:tcMar>
            <w:vAlign w:val="center"/>
          </w:tcPr>
          <w:p w14:paraId="0760F15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商务评价</w:t>
            </w:r>
            <w:r>
              <w:rPr>
                <w:rFonts w:hint="eastAsia" w:ascii="宋体" w:hAnsi="宋体" w:eastAsia="宋体" w:cs="宋体"/>
                <w:sz w:val="24"/>
                <w:szCs w:val="24"/>
                <w:lang w:val="en-US" w:eastAsia="zh-CN"/>
              </w:rPr>
              <w:t>50</w:t>
            </w:r>
            <w:r>
              <w:rPr>
                <w:rFonts w:hint="eastAsia" w:ascii="宋体" w:hAnsi="宋体" w:eastAsia="宋体" w:cs="宋体"/>
                <w:sz w:val="24"/>
                <w:szCs w:val="24"/>
              </w:rPr>
              <w:t>分</w:t>
            </w:r>
          </w:p>
        </w:tc>
        <w:tc>
          <w:tcPr>
            <w:tcW w:w="669" w:type="pct"/>
            <w:tcMar>
              <w:left w:w="57" w:type="dxa"/>
              <w:right w:w="57" w:type="dxa"/>
            </w:tcMar>
            <w:vAlign w:val="center"/>
          </w:tcPr>
          <w:p w14:paraId="479CF4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类似业绩</w:t>
            </w:r>
          </w:p>
        </w:tc>
        <w:tc>
          <w:tcPr>
            <w:tcW w:w="361" w:type="pct"/>
            <w:tcMar>
              <w:left w:w="57" w:type="dxa"/>
              <w:right w:w="57" w:type="dxa"/>
            </w:tcMar>
            <w:vAlign w:val="center"/>
          </w:tcPr>
          <w:p w14:paraId="41CAC23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20</w:t>
            </w:r>
          </w:p>
        </w:tc>
        <w:tc>
          <w:tcPr>
            <w:tcW w:w="3463" w:type="pct"/>
            <w:tcMar>
              <w:left w:w="57" w:type="dxa"/>
              <w:right w:w="57" w:type="dxa"/>
            </w:tcMar>
            <w:vAlign w:val="center"/>
          </w:tcPr>
          <w:p w14:paraId="2FF28CCF">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投标人近三年（202</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年1月1日至今）已完成业绩：</w:t>
            </w:r>
          </w:p>
          <w:p w14:paraId="386D566D">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项目中标公示中标金额在100万元（含）—500万元（不含）</w:t>
            </w:r>
          </w:p>
          <w:p w14:paraId="167878F5">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之间的招标代理业绩每有一个得1.5分，500万元（含）—1000万元（不含）之间的招标代理业绩每有一个得 2.5分，中标金额在1000万元（含）—5000万元（不含）之间的招标代理业绩每有一个得4.5分，中标金额在5000万元（含）—10000万元（不含）的招标代理业绩每有一个得6分，中标金额在10000万元（含）以上的招标代理业绩每有一个得8分，本项最多得</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分。</w:t>
            </w:r>
          </w:p>
          <w:p w14:paraId="73819E24">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（时间以代理合同签订的日期为准；中标金额以中标通知书</w:t>
            </w:r>
          </w:p>
          <w:p w14:paraId="48B2F031">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z w:val="24"/>
                <w:szCs w:val="24"/>
                <w:lang w:val="zh-CN" w:eastAsia="zh-CN" w:bidi="zh-CN"/>
              </w:rPr>
            </w:pPr>
            <w:r>
              <w:rPr>
                <w:rFonts w:hint="eastAsia" w:ascii="宋体" w:hAnsi="宋体" w:eastAsia="宋体" w:cs="宋体"/>
                <w:sz w:val="24"/>
                <w:szCs w:val="24"/>
                <w:lang w:eastAsia="zh-CN"/>
              </w:rPr>
              <w:t>中载明的金额为准；证明材料需提供代理合同原件扫描件、中标通知书原件扫描件和招标单位官网或其他官方网站发布的招标公告或中标公示网页截图及网址链接）。（如EPC项目业绩按照项目招标控制价金额确定）</w:t>
            </w:r>
          </w:p>
        </w:tc>
      </w:tr>
      <w:tr w14:paraId="3186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505" w:type="pct"/>
            <w:vMerge w:val="continue"/>
            <w:tcMar>
              <w:left w:w="57" w:type="dxa"/>
              <w:right w:w="57" w:type="dxa"/>
            </w:tcMar>
            <w:vAlign w:val="center"/>
          </w:tcPr>
          <w:p w14:paraId="1887874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eastAsia="zh-CN"/>
              </w:rPr>
            </w:pPr>
          </w:p>
        </w:tc>
        <w:tc>
          <w:tcPr>
            <w:tcW w:w="669" w:type="pct"/>
            <w:tcMar>
              <w:left w:w="57" w:type="dxa"/>
              <w:right w:w="57" w:type="dxa"/>
            </w:tcMar>
            <w:vAlign w:val="center"/>
          </w:tcPr>
          <w:p w14:paraId="779DEBF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服务时间承诺</w:t>
            </w:r>
          </w:p>
        </w:tc>
        <w:tc>
          <w:tcPr>
            <w:tcW w:w="361" w:type="pct"/>
            <w:tcMar>
              <w:left w:w="57" w:type="dxa"/>
              <w:right w:w="57" w:type="dxa"/>
            </w:tcMar>
            <w:vAlign w:val="center"/>
          </w:tcPr>
          <w:p w14:paraId="103DAB0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3463" w:type="pct"/>
            <w:tcMar>
              <w:left w:w="57" w:type="dxa"/>
              <w:right w:w="57" w:type="dxa"/>
            </w:tcMar>
            <w:vAlign w:val="center"/>
          </w:tcPr>
          <w:p w14:paraId="1D3435B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文件编制响应：紧急项目承诺自接受采购需求，采购文件4小时内编制交付的3分；8小时内，2分；24小时内，1分。不提供承诺不得分。（提供承诺书原件）</w:t>
            </w:r>
          </w:p>
          <w:p w14:paraId="28277D1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服务响应：响应业主需求，1小时内到达业主单位得2分，1.5小时内到达业主单位得1分，超过1.5小时到达的不得分。（提供公司到业主单位高德地图或其它地图软件自驾车路线截图）</w:t>
            </w:r>
          </w:p>
        </w:tc>
      </w:tr>
      <w:tr w14:paraId="08E4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505" w:type="pct"/>
            <w:vMerge w:val="continue"/>
            <w:tcMar>
              <w:left w:w="57" w:type="dxa"/>
              <w:right w:w="57" w:type="dxa"/>
            </w:tcMar>
            <w:vAlign w:val="center"/>
          </w:tcPr>
          <w:p w14:paraId="2ADC87E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eastAsia="zh-CN"/>
              </w:rPr>
            </w:pPr>
          </w:p>
        </w:tc>
        <w:tc>
          <w:tcPr>
            <w:tcW w:w="669" w:type="pct"/>
            <w:tcMar>
              <w:left w:w="57" w:type="dxa"/>
              <w:right w:w="57" w:type="dxa"/>
            </w:tcMar>
            <w:vAlign w:val="center"/>
          </w:tcPr>
          <w:p w14:paraId="467D9B9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信誉与评价考核</w:t>
            </w:r>
          </w:p>
        </w:tc>
        <w:tc>
          <w:tcPr>
            <w:tcW w:w="361" w:type="pct"/>
            <w:tcMar>
              <w:left w:w="57" w:type="dxa"/>
              <w:right w:w="57" w:type="dxa"/>
            </w:tcMar>
            <w:vAlign w:val="center"/>
          </w:tcPr>
          <w:p w14:paraId="5991EEF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3463" w:type="pct"/>
            <w:tcMar>
              <w:left w:w="57" w:type="dxa"/>
              <w:right w:w="57" w:type="dxa"/>
            </w:tcMar>
            <w:vAlign w:val="center"/>
          </w:tcPr>
          <w:p w14:paraId="0AC3DEF8">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近三年（202</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年1月1日至今）</w:t>
            </w:r>
            <w:r>
              <w:rPr>
                <w:rFonts w:hint="eastAsia" w:ascii="宋体" w:hAnsi="宋体" w:eastAsia="宋体" w:cs="宋体"/>
                <w:sz w:val="24"/>
                <w:szCs w:val="24"/>
                <w:lang w:val="en-US" w:eastAsia="zh-CN"/>
              </w:rPr>
              <w:t>获得过山东省招标代理机构AAA信用登记证书的得3分</w:t>
            </w:r>
            <w:r>
              <w:rPr>
                <w:rFonts w:hint="eastAsia" w:ascii="宋体" w:hAnsi="宋体" w:eastAsia="宋体" w:cs="宋体"/>
                <w:sz w:val="24"/>
                <w:szCs w:val="24"/>
                <w:lang w:eastAsia="zh-CN"/>
              </w:rPr>
              <w:t>。（须提供</w:t>
            </w:r>
            <w:r>
              <w:rPr>
                <w:rFonts w:hint="eastAsia" w:ascii="宋体" w:hAnsi="宋体" w:eastAsia="宋体" w:cs="宋体"/>
                <w:sz w:val="24"/>
                <w:szCs w:val="24"/>
                <w:lang w:val="en-US" w:eastAsia="zh-CN"/>
              </w:rPr>
              <w:t>证书原件的</w:t>
            </w:r>
            <w:r>
              <w:rPr>
                <w:rFonts w:hint="eastAsia" w:ascii="宋体" w:hAnsi="宋体" w:eastAsia="宋体" w:cs="宋体"/>
                <w:sz w:val="24"/>
                <w:szCs w:val="24"/>
                <w:lang w:eastAsia="zh-CN"/>
              </w:rPr>
              <w:t>扫描件，否则不得分。）</w:t>
            </w:r>
          </w:p>
          <w:p w14:paraId="08A8B718">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近三年</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年1月1日至今）</w:t>
            </w:r>
            <w:r>
              <w:rPr>
                <w:rFonts w:hint="eastAsia" w:ascii="宋体" w:hAnsi="宋体" w:eastAsia="宋体" w:cs="宋体"/>
                <w:sz w:val="24"/>
                <w:szCs w:val="24"/>
                <w:lang w:val="en-US" w:eastAsia="zh-CN"/>
              </w:rPr>
              <w:t>获得过招标代理主管部门（住建局、财政局）表彰的每有一个得2分，最多得4分。（</w:t>
            </w:r>
            <w:r>
              <w:rPr>
                <w:rFonts w:hint="eastAsia" w:ascii="宋体" w:hAnsi="宋体" w:eastAsia="宋体" w:cs="宋体"/>
                <w:sz w:val="24"/>
                <w:szCs w:val="24"/>
                <w:lang w:eastAsia="zh-CN"/>
              </w:rPr>
              <w:t>须提供</w:t>
            </w:r>
            <w:r>
              <w:rPr>
                <w:rFonts w:hint="eastAsia" w:ascii="宋体" w:hAnsi="宋体" w:eastAsia="宋体" w:cs="宋体"/>
                <w:sz w:val="24"/>
                <w:szCs w:val="24"/>
                <w:lang w:val="en-US" w:eastAsia="zh-CN"/>
              </w:rPr>
              <w:t>证书原件的</w:t>
            </w:r>
            <w:r>
              <w:rPr>
                <w:rFonts w:hint="eastAsia" w:ascii="宋体" w:hAnsi="宋体" w:eastAsia="宋体" w:cs="宋体"/>
                <w:sz w:val="24"/>
                <w:szCs w:val="24"/>
                <w:lang w:eastAsia="zh-CN"/>
              </w:rPr>
              <w:t>扫描件，否则不得分。</w:t>
            </w:r>
            <w:r>
              <w:rPr>
                <w:rFonts w:hint="eastAsia" w:ascii="宋体" w:hAnsi="宋体" w:eastAsia="宋体" w:cs="宋体"/>
                <w:sz w:val="24"/>
                <w:szCs w:val="24"/>
                <w:lang w:val="en-US" w:eastAsia="zh-CN"/>
              </w:rPr>
              <w:t>）</w:t>
            </w:r>
          </w:p>
        </w:tc>
      </w:tr>
      <w:tr w14:paraId="5CD3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505" w:type="pct"/>
            <w:vMerge w:val="continue"/>
            <w:tcMar>
              <w:left w:w="57" w:type="dxa"/>
              <w:right w:w="57" w:type="dxa"/>
            </w:tcMar>
            <w:vAlign w:val="center"/>
          </w:tcPr>
          <w:p w14:paraId="65526F8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eastAsia="zh-CN"/>
              </w:rPr>
            </w:pPr>
          </w:p>
        </w:tc>
        <w:tc>
          <w:tcPr>
            <w:tcW w:w="669" w:type="pct"/>
            <w:tcMar>
              <w:left w:w="57" w:type="dxa"/>
              <w:right w:w="57" w:type="dxa"/>
            </w:tcMar>
            <w:vAlign w:val="center"/>
          </w:tcPr>
          <w:p w14:paraId="740250FD">
            <w:pPr>
              <w:keepNext w:val="0"/>
              <w:keepLines w:val="0"/>
              <w:pageBreakBefore w:val="0"/>
              <w:widowControl/>
              <w:tabs>
                <w:tab w:val="left" w:pos="426"/>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体系认证</w:t>
            </w:r>
          </w:p>
        </w:tc>
        <w:tc>
          <w:tcPr>
            <w:tcW w:w="361" w:type="pct"/>
            <w:tcMar>
              <w:left w:w="57" w:type="dxa"/>
              <w:right w:w="57" w:type="dxa"/>
            </w:tcMar>
            <w:vAlign w:val="center"/>
          </w:tcPr>
          <w:p w14:paraId="1368668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3463" w:type="pct"/>
            <w:tcMar>
              <w:left w:w="57" w:type="dxa"/>
              <w:right w:w="57" w:type="dxa"/>
            </w:tcMar>
            <w:vAlign w:val="center"/>
          </w:tcPr>
          <w:p w14:paraId="4AC0968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供应商提供在有效的质量管理体系认证、环境管理体系认证、职业健康安全管理体系认证的，每提供1个得1分，最高得3分。（提供证书原件</w:t>
            </w:r>
            <w:r>
              <w:rPr>
                <w:rFonts w:hint="eastAsia" w:ascii="宋体" w:hAnsi="宋体" w:eastAsia="宋体" w:cs="宋体"/>
                <w:sz w:val="24"/>
                <w:szCs w:val="24"/>
                <w:lang w:val="en-US" w:eastAsia="zh-CN"/>
              </w:rPr>
              <w:t>的</w:t>
            </w:r>
            <w:r>
              <w:rPr>
                <w:rFonts w:hint="eastAsia" w:ascii="宋体" w:hAnsi="宋体" w:eastAsia="宋体" w:cs="宋体"/>
                <w:sz w:val="24"/>
                <w:szCs w:val="24"/>
                <w:lang w:eastAsia="zh-CN"/>
              </w:rPr>
              <w:t>扫描件及全国认证认可信息公共服务平台http://cx.cnca.cn查询截图。</w:t>
            </w:r>
            <w:r>
              <w:rPr>
                <w:rFonts w:hint="eastAsia" w:ascii="宋体" w:hAnsi="宋体" w:eastAsia="宋体" w:cs="宋体"/>
                <w:sz w:val="24"/>
                <w:szCs w:val="24"/>
              </w:rPr>
              <w:t>）</w:t>
            </w:r>
          </w:p>
        </w:tc>
      </w:tr>
      <w:tr w14:paraId="1386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505" w:type="pct"/>
            <w:vMerge w:val="continue"/>
            <w:tcMar>
              <w:left w:w="57" w:type="dxa"/>
              <w:right w:w="57" w:type="dxa"/>
            </w:tcMar>
            <w:vAlign w:val="center"/>
          </w:tcPr>
          <w:p w14:paraId="5EEBA17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tc>
        <w:tc>
          <w:tcPr>
            <w:tcW w:w="669" w:type="pct"/>
            <w:tcMar>
              <w:left w:w="57" w:type="dxa"/>
              <w:right w:w="57" w:type="dxa"/>
            </w:tcMar>
            <w:vAlign w:val="center"/>
          </w:tcPr>
          <w:p w14:paraId="01D85B46">
            <w:pPr>
              <w:keepNext w:val="0"/>
              <w:keepLines w:val="0"/>
              <w:pageBreakBefore w:val="0"/>
              <w:widowControl/>
              <w:tabs>
                <w:tab w:val="left" w:pos="426"/>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人员要求</w:t>
            </w:r>
          </w:p>
        </w:tc>
        <w:tc>
          <w:tcPr>
            <w:tcW w:w="361" w:type="pct"/>
            <w:tcMar>
              <w:left w:w="57" w:type="dxa"/>
              <w:right w:w="57" w:type="dxa"/>
            </w:tcMar>
            <w:vAlign w:val="center"/>
          </w:tcPr>
          <w:p w14:paraId="4EBE3D0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3463" w:type="pct"/>
            <w:tcMar>
              <w:left w:w="57" w:type="dxa"/>
              <w:right w:w="57" w:type="dxa"/>
            </w:tcMar>
            <w:vAlign w:val="center"/>
          </w:tcPr>
          <w:p w14:paraId="7B70C3C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项目负责人</w:t>
            </w:r>
            <w:r>
              <w:rPr>
                <w:rFonts w:hint="eastAsia" w:ascii="宋体" w:hAnsi="宋体" w:eastAsia="宋体" w:cs="宋体"/>
                <w:sz w:val="24"/>
                <w:szCs w:val="24"/>
                <w:lang w:eastAsia="zh-CN"/>
              </w:rPr>
              <w:t>招标代理工作年限在3</w:t>
            </w:r>
            <w:r>
              <w:rPr>
                <w:rFonts w:hint="eastAsia" w:ascii="宋体" w:hAnsi="宋体" w:eastAsia="宋体" w:cs="宋体"/>
                <w:sz w:val="24"/>
                <w:szCs w:val="24"/>
                <w:lang w:val="en-US" w:eastAsia="zh-CN"/>
              </w:rPr>
              <w:t>-5（含5年）</w:t>
            </w:r>
            <w:r>
              <w:rPr>
                <w:rFonts w:hint="eastAsia" w:ascii="宋体" w:hAnsi="宋体" w:eastAsia="宋体" w:cs="宋体"/>
                <w:sz w:val="24"/>
                <w:szCs w:val="24"/>
                <w:lang w:eastAsia="zh-CN"/>
              </w:rPr>
              <w:t>年的得1分，</w:t>
            </w:r>
            <w:r>
              <w:rPr>
                <w:rFonts w:hint="eastAsia" w:ascii="宋体" w:hAnsi="宋体" w:eastAsia="宋体" w:cs="宋体"/>
                <w:sz w:val="24"/>
                <w:szCs w:val="24"/>
                <w:lang w:val="en-US" w:eastAsia="zh-CN"/>
              </w:rPr>
              <w:t>5-8（含8年）</w:t>
            </w:r>
            <w:r>
              <w:rPr>
                <w:rFonts w:hint="eastAsia" w:ascii="宋体" w:hAnsi="宋体" w:eastAsia="宋体" w:cs="宋体"/>
                <w:sz w:val="24"/>
                <w:szCs w:val="24"/>
                <w:lang w:eastAsia="zh-CN"/>
              </w:rPr>
              <w:t>年的得</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以上</w:t>
            </w:r>
            <w:r>
              <w:rPr>
                <w:rFonts w:hint="eastAsia" w:ascii="宋体" w:hAnsi="宋体" w:eastAsia="宋体" w:cs="宋体"/>
                <w:sz w:val="24"/>
                <w:szCs w:val="24"/>
                <w:lang w:eastAsia="zh-CN"/>
              </w:rPr>
              <w:t>的得</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w:t>
            </w:r>
            <w:r>
              <w:rPr>
                <w:rFonts w:hint="eastAsia" w:ascii="宋体" w:hAnsi="宋体" w:eastAsia="宋体" w:cs="宋体"/>
                <w:sz w:val="24"/>
                <w:szCs w:val="24"/>
                <w:lang w:val="en-US" w:eastAsia="zh-CN"/>
              </w:rPr>
              <w:t>提供</w:t>
            </w:r>
            <w:r>
              <w:rPr>
                <w:rFonts w:hint="eastAsia" w:ascii="宋体" w:hAnsi="宋体" w:eastAsia="宋体" w:cs="宋体"/>
                <w:sz w:val="24"/>
                <w:szCs w:val="24"/>
                <w:lang w:eastAsia="zh-CN"/>
              </w:rPr>
              <w:t>招标单位官网或其他官方网站发布的招标公告或中标公示网页截图及网址链接，</w:t>
            </w:r>
            <w:r>
              <w:rPr>
                <w:rFonts w:hint="eastAsia" w:ascii="宋体" w:hAnsi="宋体" w:eastAsia="宋体" w:cs="宋体"/>
                <w:sz w:val="24"/>
                <w:szCs w:val="24"/>
                <w:lang w:val="en-US" w:eastAsia="zh-CN"/>
              </w:rPr>
              <w:t>公告截图序需体现项目负责人姓名。）</w:t>
            </w:r>
          </w:p>
          <w:p w14:paraId="1B606A5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项目配备人员（</w:t>
            </w:r>
            <w:r>
              <w:rPr>
                <w:rFonts w:hint="eastAsia" w:ascii="宋体" w:hAnsi="宋体" w:eastAsia="宋体" w:cs="宋体"/>
                <w:sz w:val="24"/>
                <w:szCs w:val="24"/>
                <w:lang w:val="en-US" w:eastAsia="zh-CN"/>
              </w:rPr>
              <w:t>项目负责人除外</w:t>
            </w:r>
            <w:r>
              <w:rPr>
                <w:rFonts w:hint="eastAsia" w:ascii="宋体" w:hAnsi="宋体" w:eastAsia="宋体" w:cs="宋体"/>
                <w:sz w:val="24"/>
                <w:szCs w:val="24"/>
                <w:lang w:eastAsia="zh-CN"/>
              </w:rPr>
              <w:t>）中，具有中级及以上职称的，每提供一个得</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分；本项最高得3分。（以证书电子打印件或原件扫描件为准，同一人员获得多项职称的，只计取一项。</w:t>
            </w:r>
            <w:r>
              <w:rPr>
                <w:rFonts w:hint="eastAsia" w:ascii="宋体" w:hAnsi="宋体" w:eastAsia="宋体" w:cs="宋体"/>
                <w:sz w:val="24"/>
                <w:szCs w:val="24"/>
              </w:rPr>
              <w:t>）</w:t>
            </w:r>
          </w:p>
          <w:p w14:paraId="4EE1EA3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、项目配备人员（</w:t>
            </w:r>
            <w:r>
              <w:rPr>
                <w:rFonts w:hint="eastAsia" w:ascii="宋体" w:hAnsi="宋体" w:eastAsia="宋体" w:cs="宋体"/>
                <w:sz w:val="24"/>
                <w:szCs w:val="24"/>
                <w:lang w:val="en-US" w:eastAsia="zh-CN"/>
              </w:rPr>
              <w:t>项目负责人除外</w:t>
            </w:r>
            <w:r>
              <w:rPr>
                <w:rFonts w:hint="eastAsia" w:ascii="宋体" w:hAnsi="宋体" w:eastAsia="宋体" w:cs="宋体"/>
                <w:sz w:val="24"/>
                <w:szCs w:val="24"/>
                <w:lang w:eastAsia="zh-CN"/>
              </w:rPr>
              <w:t>）中招标代理工作年限在3年及以上的每有一人得1分，本项最多得3分。（以提供在本单位连续3年缴纳社保的证明材料原件扫描件为准。如为退休返聘人员，可不提供社保缴纳证明）</w:t>
            </w:r>
          </w:p>
        </w:tc>
      </w:tr>
      <w:tr w14:paraId="20C2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505" w:type="pct"/>
            <w:vMerge w:val="continue"/>
            <w:tcMar>
              <w:left w:w="57" w:type="dxa"/>
              <w:right w:w="57" w:type="dxa"/>
            </w:tcMar>
            <w:vAlign w:val="center"/>
          </w:tcPr>
          <w:p w14:paraId="45B5380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eastAsia="zh-CN"/>
              </w:rPr>
            </w:pPr>
          </w:p>
        </w:tc>
        <w:tc>
          <w:tcPr>
            <w:tcW w:w="669" w:type="pct"/>
            <w:tcMar>
              <w:left w:w="57" w:type="dxa"/>
              <w:right w:w="57" w:type="dxa"/>
            </w:tcMar>
            <w:vAlign w:val="center"/>
          </w:tcPr>
          <w:p w14:paraId="432C0F05">
            <w:pPr>
              <w:keepNext w:val="0"/>
              <w:keepLines w:val="0"/>
              <w:pageBreakBefore w:val="0"/>
              <w:widowControl/>
              <w:tabs>
                <w:tab w:val="left" w:pos="426"/>
              </w:tabs>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开、评标场所</w:t>
            </w:r>
          </w:p>
        </w:tc>
        <w:tc>
          <w:tcPr>
            <w:tcW w:w="361" w:type="pct"/>
            <w:tcMar>
              <w:left w:w="57" w:type="dxa"/>
              <w:right w:w="57" w:type="dxa"/>
            </w:tcMar>
            <w:vAlign w:val="center"/>
          </w:tcPr>
          <w:p w14:paraId="6897A35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3463" w:type="pct"/>
            <w:tcMar>
              <w:left w:w="57" w:type="dxa"/>
              <w:right w:w="57" w:type="dxa"/>
            </w:tcMar>
            <w:vAlign w:val="center"/>
          </w:tcPr>
          <w:p w14:paraId="17A20087">
            <w:pPr>
              <w:keepNext w:val="0"/>
              <w:keepLines w:val="0"/>
              <w:pageBreakBefore w:val="0"/>
              <w:widowControl/>
              <w:tabs>
                <w:tab w:val="left" w:pos="4200"/>
              </w:tabs>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供应商具备独立开标大厅、独立评标室（提供不少于5个评审位）并配备录音录像等监控设施设备及配套专用存储设备得6分，没有得0分。（</w:t>
            </w:r>
            <w:r>
              <w:rPr>
                <w:rFonts w:hint="eastAsia" w:ascii="宋体" w:hAnsi="宋体" w:eastAsia="宋体" w:cs="宋体"/>
                <w:sz w:val="24"/>
                <w:szCs w:val="24"/>
                <w:lang w:val="en-US" w:eastAsia="zh-CN"/>
              </w:rPr>
              <w:t>需提供</w:t>
            </w:r>
            <w:r>
              <w:rPr>
                <w:rFonts w:hint="eastAsia" w:ascii="宋体" w:hAnsi="宋体" w:eastAsia="宋体" w:cs="宋体"/>
                <w:sz w:val="24"/>
                <w:szCs w:val="24"/>
                <w:lang w:eastAsia="zh-CN"/>
              </w:rPr>
              <w:t>公司布局平面图和现场拍摄图片，</w:t>
            </w:r>
            <w:r>
              <w:rPr>
                <w:rFonts w:hint="eastAsia" w:ascii="宋体" w:hAnsi="宋体" w:eastAsia="宋体" w:cs="宋体"/>
                <w:sz w:val="24"/>
                <w:szCs w:val="24"/>
                <w:lang w:val="en-US" w:eastAsia="zh-CN"/>
              </w:rPr>
              <w:t>否则不得分</w:t>
            </w:r>
            <w:r>
              <w:rPr>
                <w:rFonts w:hint="eastAsia" w:ascii="宋体" w:hAnsi="宋体" w:eastAsia="宋体" w:cs="宋体"/>
                <w:sz w:val="24"/>
                <w:szCs w:val="24"/>
                <w:lang w:eastAsia="zh-CN"/>
              </w:rPr>
              <w:t>）</w:t>
            </w:r>
          </w:p>
        </w:tc>
      </w:tr>
      <w:tr w14:paraId="3B80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505" w:type="pct"/>
            <w:vMerge w:val="restart"/>
            <w:tcMar>
              <w:left w:w="57" w:type="dxa"/>
              <w:right w:w="57" w:type="dxa"/>
            </w:tcMar>
            <w:vAlign w:val="center"/>
          </w:tcPr>
          <w:p w14:paraId="0C86689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技术评价</w:t>
            </w:r>
            <w:r>
              <w:rPr>
                <w:rFonts w:hint="eastAsia" w:ascii="宋体" w:hAnsi="宋体" w:eastAsia="宋体" w:cs="宋体"/>
                <w:sz w:val="24"/>
                <w:szCs w:val="24"/>
                <w:lang w:eastAsia="zh-CN"/>
              </w:rPr>
              <w:t>50</w:t>
            </w:r>
            <w:r>
              <w:rPr>
                <w:rFonts w:hint="eastAsia" w:ascii="宋体" w:hAnsi="宋体" w:eastAsia="宋体" w:cs="宋体"/>
                <w:sz w:val="24"/>
                <w:szCs w:val="24"/>
              </w:rPr>
              <w:t>分</w:t>
            </w:r>
          </w:p>
        </w:tc>
        <w:tc>
          <w:tcPr>
            <w:tcW w:w="669" w:type="pct"/>
            <w:tcMar>
              <w:left w:w="57" w:type="dxa"/>
              <w:right w:w="57" w:type="dxa"/>
            </w:tcMar>
            <w:vAlign w:val="center"/>
          </w:tcPr>
          <w:p w14:paraId="1F339B9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企业制度</w:t>
            </w:r>
          </w:p>
        </w:tc>
        <w:tc>
          <w:tcPr>
            <w:tcW w:w="361" w:type="pct"/>
            <w:tcMar>
              <w:left w:w="57" w:type="dxa"/>
              <w:right w:w="57" w:type="dxa"/>
            </w:tcMar>
            <w:vAlign w:val="center"/>
          </w:tcPr>
          <w:p w14:paraId="47C081D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3463" w:type="pct"/>
            <w:tcMar>
              <w:left w:w="57" w:type="dxa"/>
              <w:right w:w="57" w:type="dxa"/>
            </w:tcMar>
            <w:vAlign w:val="center"/>
          </w:tcPr>
          <w:p w14:paraId="75319D2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提供企业规章制度（岗位责任、工作规程、开评标工作纪律、内审制度、档案管理等5方面），制度规范、切合工作实际、管理严谨，得5分；制度可行，管理良好，得3分；制度未结合实际，管理一般，得1分。未提供不得分。</w:t>
            </w:r>
          </w:p>
        </w:tc>
      </w:tr>
      <w:tr w14:paraId="79E2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505" w:type="pct"/>
            <w:vMerge w:val="continue"/>
            <w:tcMar>
              <w:left w:w="57" w:type="dxa"/>
              <w:right w:w="57" w:type="dxa"/>
            </w:tcMar>
            <w:vAlign w:val="center"/>
          </w:tcPr>
          <w:p w14:paraId="3CF5C05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tc>
        <w:tc>
          <w:tcPr>
            <w:tcW w:w="669" w:type="pct"/>
            <w:tcMar>
              <w:left w:w="57" w:type="dxa"/>
              <w:right w:w="57" w:type="dxa"/>
            </w:tcMar>
            <w:vAlign w:val="center"/>
          </w:tcPr>
          <w:p w14:paraId="13D6039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服务方案</w:t>
            </w:r>
          </w:p>
        </w:tc>
        <w:tc>
          <w:tcPr>
            <w:tcW w:w="361" w:type="pct"/>
            <w:tcMar>
              <w:left w:w="57" w:type="dxa"/>
              <w:right w:w="57" w:type="dxa"/>
            </w:tcMar>
            <w:vAlign w:val="center"/>
          </w:tcPr>
          <w:p w14:paraId="237288F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15</w:t>
            </w:r>
          </w:p>
        </w:tc>
        <w:tc>
          <w:tcPr>
            <w:tcW w:w="3463" w:type="pct"/>
            <w:tcMar>
              <w:left w:w="57" w:type="dxa"/>
              <w:right w:w="57" w:type="dxa"/>
            </w:tcMar>
            <w:vAlign w:val="center"/>
          </w:tcPr>
          <w:p w14:paraId="22CDDBE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采购项目代理服务方案，主要体现如何做好采购项目代理服务，从接受代理项目、办理代理手续、沟通采购需求、编制招标采购文件、实施过程控制、收集招标资料、办理资料移交、保证服务质量等方面说明。内容完整、清晰，表述准确，各个工作过程合理，管理严谨，可操作性强，得15分；表述良好，工作过程可行，管理一般，得10分；表述一般，过程基本可行，基本可操作，得5分；表述与实际工作不符，不利于操作和管理，不得分。</w:t>
            </w:r>
          </w:p>
        </w:tc>
      </w:tr>
      <w:tr w14:paraId="7D5A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505" w:type="pct"/>
            <w:vMerge w:val="continue"/>
            <w:tcMar>
              <w:left w:w="57" w:type="dxa"/>
              <w:right w:w="57" w:type="dxa"/>
            </w:tcMar>
            <w:vAlign w:val="center"/>
          </w:tcPr>
          <w:p w14:paraId="6C507D9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eastAsia="zh-CN"/>
              </w:rPr>
            </w:pPr>
          </w:p>
        </w:tc>
        <w:tc>
          <w:tcPr>
            <w:tcW w:w="669" w:type="pct"/>
            <w:tcMar>
              <w:left w:w="57" w:type="dxa"/>
              <w:right w:w="57" w:type="dxa"/>
            </w:tcMar>
            <w:vAlign w:val="center"/>
          </w:tcPr>
          <w:p w14:paraId="47FAAE7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代理项目案例</w:t>
            </w:r>
          </w:p>
        </w:tc>
        <w:tc>
          <w:tcPr>
            <w:tcW w:w="361" w:type="pct"/>
            <w:tcMar>
              <w:left w:w="57" w:type="dxa"/>
              <w:right w:w="57" w:type="dxa"/>
            </w:tcMar>
            <w:vAlign w:val="center"/>
          </w:tcPr>
          <w:p w14:paraId="715AB5B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15</w:t>
            </w:r>
          </w:p>
        </w:tc>
        <w:tc>
          <w:tcPr>
            <w:tcW w:w="3463" w:type="pct"/>
            <w:tcMar>
              <w:left w:w="57" w:type="dxa"/>
              <w:right w:w="57" w:type="dxa"/>
            </w:tcMar>
            <w:vAlign w:val="center"/>
          </w:tcPr>
          <w:p w14:paraId="1716C35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1、内容完整、编排有序、条理清晰、目录页码对应准确、排版美观、无错别字，得5分，每处不满足扣1分，扣完为止。</w:t>
            </w:r>
          </w:p>
          <w:p w14:paraId="6F1B938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2、适用法律法规正确，采购方式、交易平台、资质要求正确，得5分，每处不满足扣1分，扣完为止。</w:t>
            </w:r>
          </w:p>
          <w:p w14:paraId="2C683E8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3、评审因素合理，符合国家和行业规定，日程安排合理，得5分。每处错误、不合理扣1分，扣完为止。</w:t>
            </w:r>
          </w:p>
          <w:p w14:paraId="4A2173F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（需提供招标代理项目业绩一套，包括代理协议、招标文件、中标通知书、中标通知书、合同。评审完退还。）</w:t>
            </w:r>
          </w:p>
        </w:tc>
      </w:tr>
      <w:tr w14:paraId="4A40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505" w:type="pct"/>
            <w:vMerge w:val="continue"/>
            <w:tcMar>
              <w:left w:w="57" w:type="dxa"/>
              <w:right w:w="57" w:type="dxa"/>
            </w:tcMar>
            <w:vAlign w:val="center"/>
          </w:tcPr>
          <w:p w14:paraId="6E641B4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eastAsia="zh-CN"/>
              </w:rPr>
            </w:pPr>
          </w:p>
        </w:tc>
        <w:tc>
          <w:tcPr>
            <w:tcW w:w="669" w:type="pct"/>
            <w:tcMar>
              <w:left w:w="57" w:type="dxa"/>
              <w:right w:w="57" w:type="dxa"/>
            </w:tcMar>
            <w:vAlign w:val="center"/>
          </w:tcPr>
          <w:p w14:paraId="4AB24CB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kern w:val="2"/>
                <w:sz w:val="24"/>
                <w:szCs w:val="24"/>
              </w:rPr>
              <w:t>常见工作难点分析</w:t>
            </w:r>
          </w:p>
        </w:tc>
        <w:tc>
          <w:tcPr>
            <w:tcW w:w="361" w:type="pct"/>
            <w:tcMar>
              <w:left w:w="57" w:type="dxa"/>
              <w:right w:w="57" w:type="dxa"/>
            </w:tcMar>
            <w:vAlign w:val="center"/>
          </w:tcPr>
          <w:p w14:paraId="0D348EC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lang w:eastAsia="zh-CN"/>
              </w:rPr>
              <w:t>15</w:t>
            </w:r>
          </w:p>
        </w:tc>
        <w:tc>
          <w:tcPr>
            <w:tcW w:w="3463" w:type="pct"/>
            <w:tcMar>
              <w:left w:w="57" w:type="dxa"/>
              <w:right w:w="57" w:type="dxa"/>
            </w:tcMar>
            <w:vAlign w:val="center"/>
          </w:tcPr>
          <w:p w14:paraId="1DE03AD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1.对防范围标串标、质疑投诉处理、招标代理等工作的重点和难点剖析，有独到见解、观点明确、表述清晰，针对性强得10分；表述一般得7分；提供相应材料得4分；不提供不得分</w:t>
            </w:r>
          </w:p>
          <w:p w14:paraId="061DAE0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2.对造成废标、流标的原因分析并提出有效控制措施。分析透彻、见解独到，措施有效得5分；表述一般得3分；提供相应材料得1分；不提供不得分。</w:t>
            </w:r>
          </w:p>
        </w:tc>
      </w:tr>
    </w:tbl>
    <w:p w14:paraId="69C4860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仿宋" w:hAnsi="仿宋" w:eastAsia="仿宋" w:cs="仿宋"/>
          <w:sz w:val="24"/>
          <w:szCs w:val="24"/>
          <w:lang w:eastAsia="zh-CN"/>
        </w:rPr>
      </w:pPr>
    </w:p>
    <w:p w14:paraId="596FD12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备注：</w:t>
      </w:r>
    </w:p>
    <w:p w14:paraId="39CB088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1、评分如出现小数点，则保留小数点后两位（四舍五入）；</w:t>
      </w:r>
    </w:p>
    <w:p w14:paraId="757D949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2、各评审专家评分的算术平均值为供应商的最终得分；</w:t>
      </w:r>
    </w:p>
    <w:p w14:paraId="2AEAEA9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3、在任何评标环节中，需评审委员会就某项定性的评审结论做出表决的，由评审委员会全体成员按照少数服从多数的原则，以记名投票方式表决。</w:t>
      </w:r>
    </w:p>
    <w:p w14:paraId="17629D2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、以上证件不重复计分。</w:t>
      </w:r>
    </w:p>
    <w:p w14:paraId="793174E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、关联公司之间业绩不认可。</w:t>
      </w:r>
    </w:p>
    <w:p w14:paraId="49193C41">
      <w:pPr>
        <w:spacing w:before="72" w:line="227" w:lineRule="auto"/>
        <w:jc w:val="center"/>
        <w:outlineLvl w:val="0"/>
        <w:rPr>
          <w:rFonts w:hint="eastAsia" w:ascii="宋体" w:hAnsi="宋体" w:eastAsia="宋体" w:cs="宋体"/>
          <w:spacing w:val="9"/>
          <w:sz w:val="35"/>
          <w:szCs w:val="35"/>
          <w:lang w:eastAsia="zh-CN"/>
        </w:rPr>
      </w:pPr>
    </w:p>
    <w:p w14:paraId="47D07E5D">
      <w:pPr>
        <w:spacing w:before="72" w:line="227" w:lineRule="auto"/>
        <w:jc w:val="center"/>
        <w:outlineLvl w:val="0"/>
        <w:rPr>
          <w:rFonts w:hint="eastAsia" w:ascii="宋体" w:hAnsi="宋体" w:eastAsia="宋体" w:cs="宋体"/>
          <w:spacing w:val="9"/>
          <w:sz w:val="35"/>
          <w:szCs w:val="35"/>
          <w:lang w:eastAsia="zh-CN"/>
        </w:rPr>
      </w:pPr>
    </w:p>
    <w:p w14:paraId="1340788F">
      <w:pPr>
        <w:spacing w:before="72" w:line="227" w:lineRule="auto"/>
        <w:jc w:val="center"/>
        <w:outlineLvl w:val="0"/>
        <w:rPr>
          <w:rFonts w:hint="eastAsia" w:ascii="宋体" w:hAnsi="宋体" w:eastAsia="宋体" w:cs="宋体"/>
          <w:spacing w:val="9"/>
          <w:sz w:val="35"/>
          <w:szCs w:val="35"/>
          <w:lang w:eastAsia="zh-CN"/>
        </w:rPr>
      </w:pPr>
    </w:p>
    <w:p w14:paraId="1DAA6492">
      <w:pPr>
        <w:spacing w:before="72" w:line="227" w:lineRule="auto"/>
        <w:jc w:val="center"/>
        <w:outlineLvl w:val="0"/>
        <w:rPr>
          <w:rFonts w:hint="eastAsia" w:ascii="宋体" w:hAnsi="宋体" w:eastAsia="宋体" w:cs="宋体"/>
          <w:spacing w:val="9"/>
          <w:sz w:val="35"/>
          <w:szCs w:val="35"/>
          <w:lang w:eastAsia="zh-CN"/>
        </w:rPr>
      </w:pPr>
    </w:p>
    <w:p w14:paraId="18042BF7">
      <w:pPr>
        <w:spacing w:before="72" w:line="227" w:lineRule="auto"/>
        <w:jc w:val="center"/>
        <w:outlineLvl w:val="0"/>
        <w:rPr>
          <w:rFonts w:hint="eastAsia" w:ascii="宋体" w:hAnsi="宋体" w:eastAsia="宋体" w:cs="宋体"/>
          <w:spacing w:val="9"/>
          <w:sz w:val="35"/>
          <w:szCs w:val="35"/>
          <w:lang w:eastAsia="zh-CN"/>
        </w:rPr>
      </w:pPr>
    </w:p>
    <w:p w14:paraId="782726A1">
      <w:pPr>
        <w:spacing w:before="72" w:line="227" w:lineRule="auto"/>
        <w:jc w:val="center"/>
        <w:outlineLvl w:val="0"/>
        <w:rPr>
          <w:rFonts w:hint="eastAsia" w:ascii="宋体" w:hAnsi="宋体" w:eastAsia="宋体" w:cs="宋体"/>
          <w:spacing w:val="9"/>
          <w:sz w:val="35"/>
          <w:szCs w:val="35"/>
          <w:lang w:eastAsia="zh-CN"/>
        </w:rPr>
      </w:pPr>
    </w:p>
    <w:p w14:paraId="0DF21039">
      <w:pPr>
        <w:spacing w:before="72" w:line="227" w:lineRule="auto"/>
        <w:jc w:val="center"/>
        <w:outlineLvl w:val="0"/>
        <w:rPr>
          <w:rFonts w:hint="eastAsia" w:ascii="宋体" w:hAnsi="宋体" w:eastAsia="宋体" w:cs="宋体"/>
          <w:spacing w:val="9"/>
          <w:sz w:val="35"/>
          <w:szCs w:val="35"/>
          <w:lang w:eastAsia="zh-CN"/>
        </w:rPr>
      </w:pPr>
    </w:p>
    <w:p w14:paraId="60B7438E">
      <w:pPr>
        <w:spacing w:before="72" w:line="227" w:lineRule="auto"/>
        <w:jc w:val="center"/>
        <w:outlineLvl w:val="0"/>
        <w:rPr>
          <w:rFonts w:hint="eastAsia" w:ascii="宋体" w:hAnsi="宋体" w:eastAsia="宋体" w:cs="宋体"/>
          <w:spacing w:val="9"/>
          <w:sz w:val="35"/>
          <w:szCs w:val="35"/>
          <w:lang w:eastAsia="zh-CN"/>
        </w:rPr>
      </w:pPr>
    </w:p>
    <w:p w14:paraId="5DA90B19">
      <w:pPr>
        <w:spacing w:before="72" w:line="227" w:lineRule="auto"/>
        <w:jc w:val="center"/>
        <w:outlineLvl w:val="0"/>
        <w:rPr>
          <w:rFonts w:hint="eastAsia" w:ascii="宋体" w:hAnsi="宋体" w:eastAsia="宋体" w:cs="宋体"/>
          <w:spacing w:val="9"/>
          <w:sz w:val="35"/>
          <w:szCs w:val="35"/>
          <w:lang w:eastAsia="zh-CN"/>
        </w:rPr>
      </w:pPr>
    </w:p>
    <w:p w14:paraId="10BF093D">
      <w:pPr>
        <w:spacing w:before="72" w:line="227" w:lineRule="auto"/>
        <w:jc w:val="center"/>
        <w:outlineLvl w:val="0"/>
        <w:rPr>
          <w:rFonts w:hint="eastAsia" w:ascii="宋体" w:hAnsi="宋体" w:eastAsia="宋体" w:cs="宋体"/>
          <w:spacing w:val="9"/>
          <w:sz w:val="35"/>
          <w:szCs w:val="35"/>
          <w:lang w:eastAsia="zh-CN"/>
        </w:rPr>
      </w:pPr>
    </w:p>
    <w:p w14:paraId="5B2D754E">
      <w:pPr>
        <w:spacing w:before="72" w:line="227" w:lineRule="auto"/>
        <w:jc w:val="center"/>
        <w:outlineLvl w:val="0"/>
        <w:rPr>
          <w:rFonts w:hint="eastAsia" w:ascii="宋体" w:hAnsi="宋体" w:eastAsia="宋体" w:cs="宋体"/>
          <w:spacing w:val="9"/>
          <w:sz w:val="35"/>
          <w:szCs w:val="35"/>
          <w:lang w:eastAsia="zh-CN"/>
        </w:rPr>
      </w:pPr>
    </w:p>
    <w:p w14:paraId="0E2AACF3">
      <w:pPr>
        <w:spacing w:before="72" w:line="227" w:lineRule="auto"/>
        <w:jc w:val="center"/>
        <w:outlineLvl w:val="0"/>
        <w:rPr>
          <w:rFonts w:hint="eastAsia" w:ascii="宋体" w:hAnsi="宋体" w:eastAsia="宋体" w:cs="宋体"/>
          <w:spacing w:val="9"/>
          <w:sz w:val="35"/>
          <w:szCs w:val="35"/>
          <w:lang w:eastAsia="zh-CN"/>
        </w:rPr>
      </w:pPr>
    </w:p>
    <w:p w14:paraId="62838156">
      <w:pPr>
        <w:spacing w:before="72" w:line="227" w:lineRule="auto"/>
        <w:jc w:val="center"/>
        <w:outlineLvl w:val="0"/>
        <w:rPr>
          <w:rFonts w:hint="eastAsia" w:ascii="宋体" w:hAnsi="宋体" w:eastAsia="宋体" w:cs="宋体"/>
          <w:spacing w:val="9"/>
          <w:sz w:val="35"/>
          <w:szCs w:val="35"/>
          <w:lang w:eastAsia="zh-CN"/>
        </w:rPr>
      </w:pPr>
    </w:p>
    <w:p w14:paraId="0BA83308">
      <w:pPr>
        <w:spacing w:before="72" w:line="227" w:lineRule="auto"/>
        <w:jc w:val="center"/>
        <w:outlineLvl w:val="0"/>
        <w:rPr>
          <w:rFonts w:hint="eastAsia" w:ascii="宋体" w:hAnsi="宋体" w:eastAsia="宋体" w:cs="宋体"/>
          <w:spacing w:val="9"/>
          <w:sz w:val="35"/>
          <w:szCs w:val="35"/>
          <w:lang w:eastAsia="zh-CN"/>
        </w:rPr>
      </w:pPr>
    </w:p>
    <w:p w14:paraId="7EB6D3F3">
      <w:pPr>
        <w:spacing w:before="72" w:line="227" w:lineRule="auto"/>
        <w:jc w:val="both"/>
        <w:outlineLvl w:val="0"/>
        <w:rPr>
          <w:rFonts w:hint="eastAsia" w:ascii="宋体" w:hAnsi="宋体" w:eastAsia="宋体" w:cs="宋体"/>
          <w:spacing w:val="9"/>
          <w:sz w:val="35"/>
          <w:szCs w:val="35"/>
          <w:lang w:eastAsia="zh-CN"/>
        </w:rPr>
      </w:pPr>
    </w:p>
    <w:p w14:paraId="26DD753E">
      <w:pPr>
        <w:pStyle w:val="2"/>
        <w:bidi w:val="0"/>
        <w:rPr>
          <w:rFonts w:hint="eastAsia"/>
          <w:lang w:eastAsia="zh-CN"/>
        </w:rPr>
      </w:pPr>
      <w:bookmarkStart w:id="9" w:name="_Toc10469"/>
      <w:r>
        <w:rPr>
          <w:rFonts w:hint="eastAsia"/>
          <w:lang w:val="en-US" w:eastAsia="zh-CN"/>
        </w:rPr>
        <w:t xml:space="preserve">第五章  </w:t>
      </w:r>
      <w:r>
        <w:rPr>
          <w:rFonts w:hint="eastAsia"/>
          <w:lang w:eastAsia="zh-CN"/>
        </w:rPr>
        <w:t>框架协议文本</w:t>
      </w:r>
      <w:bookmarkEnd w:id="9"/>
    </w:p>
    <w:p w14:paraId="79B55B91">
      <w:pPr>
        <w:pStyle w:val="4"/>
        <w:spacing w:line="269" w:lineRule="auto"/>
        <w:rPr>
          <w:rFonts w:hint="eastAsia" w:ascii="宋体" w:hAnsi="宋体" w:eastAsia="宋体" w:cs="宋体"/>
          <w:lang w:eastAsia="zh-CN"/>
        </w:rPr>
      </w:pPr>
    </w:p>
    <w:p w14:paraId="68EAF01E">
      <w:pPr>
        <w:pStyle w:val="4"/>
        <w:spacing w:line="270" w:lineRule="auto"/>
        <w:rPr>
          <w:rFonts w:hint="eastAsia" w:ascii="宋体" w:hAnsi="宋体" w:eastAsia="宋体" w:cs="宋体"/>
          <w:lang w:eastAsia="zh-CN"/>
        </w:rPr>
      </w:pPr>
    </w:p>
    <w:p w14:paraId="70C603D9">
      <w:pPr>
        <w:pStyle w:val="4"/>
        <w:spacing w:line="270" w:lineRule="auto"/>
        <w:rPr>
          <w:rFonts w:hint="eastAsia" w:ascii="宋体" w:hAnsi="宋体" w:eastAsia="宋体" w:cs="宋体"/>
          <w:lang w:eastAsia="zh-CN"/>
        </w:rPr>
      </w:pPr>
    </w:p>
    <w:p w14:paraId="519384E8">
      <w:pPr>
        <w:spacing w:line="360" w:lineRule="auto"/>
        <w:jc w:val="center"/>
        <w:rPr>
          <w:rFonts w:hint="eastAsia" w:ascii="黑体" w:hAnsi="黑体" w:eastAsia="黑体" w:cs="黑体"/>
          <w:spacing w:val="10"/>
          <w:sz w:val="52"/>
          <w:szCs w:val="52"/>
          <w:lang w:val="en-US" w:eastAsia="zh-CN"/>
          <w14:textOutline w14:w="8712" w14:cap="sq" w14:cmpd="sng" w14:algn="ctr">
            <w14:solidFill>
              <w14:srgbClr w14:val="000000"/>
            </w14:solidFill>
            <w14:prstDash w14:val="solid"/>
            <w14:bevel/>
          </w14:textOutline>
        </w:rPr>
      </w:pPr>
      <w:r>
        <w:rPr>
          <w:rFonts w:hint="eastAsia" w:ascii="黑体" w:hAnsi="黑体" w:eastAsia="黑体" w:cs="黑体"/>
          <w:spacing w:val="10"/>
          <w:sz w:val="52"/>
          <w:szCs w:val="52"/>
          <w:lang w:eastAsia="zh-CN"/>
          <w14:textOutline w14:w="8712" w14:cap="sq" w14:cmpd="sng" w14:algn="ctr">
            <w14:solidFill>
              <w14:srgbClr w14:val="000000"/>
            </w14:solidFill>
            <w14:prstDash w14:val="solid"/>
            <w14:bevel/>
          </w14:textOutline>
        </w:rPr>
        <w:t>济宁</w:t>
      </w:r>
      <w:r>
        <w:rPr>
          <w:rFonts w:hint="eastAsia" w:ascii="黑体" w:hAnsi="黑体" w:eastAsia="黑体" w:cs="黑体"/>
          <w:spacing w:val="10"/>
          <w:sz w:val="52"/>
          <w:szCs w:val="52"/>
          <w:lang w:val="en-US" w:eastAsia="zh-CN"/>
          <w14:textOutline w14:w="8712" w14:cap="sq" w14:cmpd="sng" w14:algn="ctr">
            <w14:solidFill>
              <w14:srgbClr w14:val="000000"/>
            </w14:solidFill>
            <w14:prstDash w14:val="solid"/>
            <w14:bevel/>
          </w14:textOutline>
        </w:rPr>
        <w:t>高新社发投资集团有限公司</w:t>
      </w:r>
    </w:p>
    <w:p w14:paraId="4CB4C7BB">
      <w:pPr>
        <w:spacing w:line="360" w:lineRule="auto"/>
        <w:jc w:val="center"/>
        <w:rPr>
          <w:rFonts w:ascii="黑体" w:hAnsi="黑体" w:eastAsia="黑体" w:cs="黑体"/>
          <w:sz w:val="52"/>
          <w:szCs w:val="52"/>
          <w:lang w:eastAsia="zh-CN"/>
        </w:rPr>
      </w:pPr>
      <w:r>
        <w:rPr>
          <w:rFonts w:hint="eastAsia" w:ascii="黑体" w:hAnsi="黑体" w:eastAsia="黑体" w:cs="黑体"/>
          <w:spacing w:val="10"/>
          <w:sz w:val="52"/>
          <w:szCs w:val="52"/>
          <w:lang w:eastAsia="zh-CN"/>
          <w14:textOutline w14:w="8712" w14:cap="sq" w14:cmpd="sng" w14:algn="ctr">
            <w14:solidFill>
              <w14:srgbClr w14:val="000000"/>
            </w14:solidFill>
            <w14:prstDash w14:val="solid"/>
            <w14:bevel/>
          </w14:textOutline>
        </w:rPr>
        <w:t>招标代理服务机构框架协议采购项目</w:t>
      </w:r>
    </w:p>
    <w:p w14:paraId="2176C01A">
      <w:pPr>
        <w:spacing w:before="130" w:line="222" w:lineRule="auto"/>
        <w:jc w:val="center"/>
        <w:outlineLvl w:val="1"/>
        <w:rPr>
          <w:rFonts w:hint="eastAsia" w:ascii="宋体" w:hAnsi="宋体" w:eastAsia="宋体" w:cs="宋体"/>
          <w:sz w:val="40"/>
          <w:szCs w:val="40"/>
          <w:lang w:eastAsia="zh-CN"/>
        </w:rPr>
      </w:pPr>
      <w:r>
        <w:rPr>
          <w:rFonts w:hint="eastAsia" w:ascii="宋体" w:hAnsi="宋体" w:eastAsia="宋体" w:cs="宋体"/>
          <w:spacing w:val="-1"/>
          <w:sz w:val="40"/>
          <w:szCs w:val="40"/>
          <w:lang w:eastAsia="zh-CN"/>
        </w:rPr>
        <w:t>框架协议文本（第一阶段）</w:t>
      </w:r>
    </w:p>
    <w:p w14:paraId="008A449D">
      <w:pPr>
        <w:pStyle w:val="4"/>
        <w:spacing w:line="244" w:lineRule="auto"/>
        <w:rPr>
          <w:rFonts w:hint="eastAsia" w:ascii="宋体" w:hAnsi="宋体" w:eastAsia="宋体" w:cs="宋体"/>
          <w:lang w:eastAsia="zh-CN"/>
        </w:rPr>
      </w:pPr>
    </w:p>
    <w:p w14:paraId="00A2552A">
      <w:pPr>
        <w:pStyle w:val="4"/>
        <w:spacing w:line="244" w:lineRule="auto"/>
        <w:rPr>
          <w:rFonts w:hint="eastAsia" w:ascii="宋体" w:hAnsi="宋体" w:eastAsia="宋体" w:cs="宋体"/>
          <w:lang w:eastAsia="zh-CN"/>
        </w:rPr>
      </w:pPr>
    </w:p>
    <w:p w14:paraId="7C9C0516">
      <w:pPr>
        <w:pStyle w:val="4"/>
        <w:spacing w:line="244" w:lineRule="auto"/>
        <w:rPr>
          <w:rFonts w:hint="eastAsia" w:ascii="宋体" w:hAnsi="宋体" w:eastAsia="宋体" w:cs="宋体"/>
          <w:lang w:eastAsia="zh-CN"/>
        </w:rPr>
      </w:pPr>
    </w:p>
    <w:p w14:paraId="04D7E634">
      <w:pPr>
        <w:pStyle w:val="4"/>
        <w:spacing w:line="244" w:lineRule="auto"/>
        <w:rPr>
          <w:rFonts w:hint="eastAsia" w:ascii="宋体" w:hAnsi="宋体" w:eastAsia="宋体" w:cs="宋体"/>
          <w:lang w:eastAsia="zh-CN"/>
        </w:rPr>
      </w:pPr>
    </w:p>
    <w:p w14:paraId="0F211E33">
      <w:pPr>
        <w:pStyle w:val="4"/>
        <w:spacing w:line="244" w:lineRule="auto"/>
        <w:rPr>
          <w:rFonts w:hint="eastAsia" w:ascii="宋体" w:hAnsi="宋体" w:eastAsia="宋体" w:cs="宋体"/>
          <w:lang w:eastAsia="zh-CN"/>
        </w:rPr>
      </w:pPr>
    </w:p>
    <w:p w14:paraId="75A47D18">
      <w:pPr>
        <w:pStyle w:val="4"/>
        <w:spacing w:line="244" w:lineRule="auto"/>
        <w:rPr>
          <w:rFonts w:hint="eastAsia" w:ascii="宋体" w:hAnsi="宋体" w:eastAsia="宋体" w:cs="宋体"/>
          <w:lang w:eastAsia="zh-CN"/>
        </w:rPr>
      </w:pPr>
    </w:p>
    <w:p w14:paraId="077EEAE9">
      <w:pPr>
        <w:pStyle w:val="4"/>
        <w:spacing w:line="244" w:lineRule="auto"/>
        <w:rPr>
          <w:rFonts w:hint="eastAsia" w:ascii="宋体" w:hAnsi="宋体" w:eastAsia="宋体" w:cs="宋体"/>
          <w:lang w:eastAsia="zh-CN"/>
        </w:rPr>
      </w:pPr>
    </w:p>
    <w:p w14:paraId="1D37057A">
      <w:pPr>
        <w:pStyle w:val="4"/>
        <w:spacing w:line="244" w:lineRule="auto"/>
        <w:rPr>
          <w:rFonts w:hint="eastAsia" w:ascii="宋体" w:hAnsi="宋体" w:eastAsia="宋体" w:cs="宋体"/>
          <w:lang w:eastAsia="zh-CN"/>
        </w:rPr>
      </w:pPr>
    </w:p>
    <w:p w14:paraId="11CC0DA8">
      <w:pPr>
        <w:pStyle w:val="4"/>
        <w:spacing w:line="244" w:lineRule="auto"/>
        <w:rPr>
          <w:rFonts w:hint="eastAsia" w:ascii="宋体" w:hAnsi="宋体" w:eastAsia="宋体" w:cs="宋体"/>
          <w:lang w:eastAsia="zh-CN"/>
        </w:rPr>
      </w:pPr>
    </w:p>
    <w:p w14:paraId="426C777C">
      <w:pPr>
        <w:pStyle w:val="4"/>
        <w:spacing w:line="244" w:lineRule="auto"/>
        <w:rPr>
          <w:rFonts w:hint="eastAsia" w:ascii="宋体" w:hAnsi="宋体" w:eastAsia="宋体" w:cs="宋体"/>
          <w:lang w:eastAsia="zh-CN"/>
        </w:rPr>
      </w:pPr>
    </w:p>
    <w:p w14:paraId="5BF28355">
      <w:pPr>
        <w:pStyle w:val="4"/>
        <w:spacing w:line="244" w:lineRule="auto"/>
        <w:rPr>
          <w:rFonts w:hint="eastAsia" w:ascii="宋体" w:hAnsi="宋体" w:eastAsia="宋体" w:cs="宋体"/>
          <w:lang w:eastAsia="zh-CN"/>
        </w:rPr>
      </w:pPr>
    </w:p>
    <w:p w14:paraId="63C0474A">
      <w:pPr>
        <w:pStyle w:val="4"/>
        <w:spacing w:line="254" w:lineRule="auto"/>
        <w:rPr>
          <w:rFonts w:hint="eastAsia" w:ascii="宋体" w:hAnsi="宋体" w:eastAsia="宋体" w:cs="宋体"/>
          <w:lang w:eastAsia="zh-CN"/>
        </w:rPr>
      </w:pPr>
    </w:p>
    <w:p w14:paraId="09AF862A">
      <w:pPr>
        <w:pStyle w:val="4"/>
        <w:spacing w:line="254" w:lineRule="auto"/>
        <w:rPr>
          <w:rFonts w:hint="eastAsia" w:ascii="宋体" w:hAnsi="宋体" w:eastAsia="宋体" w:cs="宋体"/>
          <w:lang w:eastAsia="zh-CN"/>
        </w:rPr>
      </w:pPr>
    </w:p>
    <w:p w14:paraId="11B6EB03">
      <w:pPr>
        <w:pStyle w:val="4"/>
        <w:spacing w:line="254" w:lineRule="auto"/>
        <w:rPr>
          <w:rFonts w:hint="eastAsia" w:ascii="宋体" w:hAnsi="宋体" w:eastAsia="宋体" w:cs="宋体"/>
          <w:lang w:eastAsia="zh-CN"/>
        </w:rPr>
      </w:pPr>
    </w:p>
    <w:p w14:paraId="7418DD87">
      <w:pPr>
        <w:pStyle w:val="4"/>
        <w:spacing w:line="254" w:lineRule="auto"/>
        <w:rPr>
          <w:rFonts w:hint="eastAsia" w:ascii="宋体" w:hAnsi="宋体" w:eastAsia="宋体" w:cs="宋体"/>
          <w:lang w:eastAsia="zh-CN"/>
        </w:rPr>
      </w:pPr>
    </w:p>
    <w:p w14:paraId="58345D75">
      <w:pPr>
        <w:pStyle w:val="4"/>
        <w:spacing w:line="255" w:lineRule="auto"/>
        <w:rPr>
          <w:rFonts w:hint="eastAsia" w:ascii="宋体" w:hAnsi="宋体" w:eastAsia="宋体" w:cs="宋体"/>
          <w:lang w:eastAsia="zh-CN"/>
        </w:rPr>
      </w:pPr>
    </w:p>
    <w:p w14:paraId="2DA771E1">
      <w:pPr>
        <w:pStyle w:val="4"/>
        <w:spacing w:line="255" w:lineRule="auto"/>
        <w:rPr>
          <w:rFonts w:hint="eastAsia" w:ascii="宋体" w:hAnsi="宋体" w:eastAsia="宋体" w:cs="宋体"/>
          <w:lang w:eastAsia="zh-CN"/>
        </w:rPr>
      </w:pPr>
    </w:p>
    <w:p w14:paraId="68FA8844">
      <w:pPr>
        <w:pStyle w:val="4"/>
        <w:spacing w:line="255" w:lineRule="auto"/>
        <w:rPr>
          <w:rFonts w:hint="eastAsia" w:ascii="宋体" w:hAnsi="宋体" w:eastAsia="宋体" w:cs="宋体"/>
          <w:lang w:eastAsia="zh-CN"/>
        </w:rPr>
      </w:pPr>
    </w:p>
    <w:p w14:paraId="3F2C7185">
      <w:pPr>
        <w:pStyle w:val="4"/>
        <w:spacing w:line="255" w:lineRule="auto"/>
        <w:rPr>
          <w:rFonts w:hint="eastAsia" w:ascii="宋体" w:hAnsi="宋体" w:eastAsia="宋体" w:cs="宋体"/>
          <w:lang w:eastAsia="zh-CN"/>
        </w:rPr>
      </w:pPr>
    </w:p>
    <w:p w14:paraId="24878972">
      <w:pPr>
        <w:pStyle w:val="4"/>
        <w:spacing w:line="255" w:lineRule="auto"/>
        <w:rPr>
          <w:rFonts w:hint="eastAsia" w:ascii="宋体" w:hAnsi="宋体" w:eastAsia="宋体" w:cs="宋体"/>
          <w:lang w:eastAsia="zh-CN"/>
        </w:rPr>
      </w:pPr>
    </w:p>
    <w:p w14:paraId="10EAC4D0">
      <w:pPr>
        <w:spacing w:before="92" w:line="545" w:lineRule="exact"/>
        <w:ind w:left="2551" w:leftChars="1215"/>
        <w:rPr>
          <w:rFonts w:hint="eastAsia" w:ascii="宋体" w:hAnsi="宋体" w:eastAsia="宋体" w:cs="宋体"/>
          <w:sz w:val="28"/>
          <w:szCs w:val="28"/>
          <w:u w:val="single"/>
          <w:lang w:eastAsia="zh-CN"/>
        </w:rPr>
      </w:pPr>
      <w:r>
        <w:rPr>
          <w:rFonts w:hint="eastAsia" w:ascii="宋体" w:hAnsi="宋体" w:eastAsia="宋体" w:cs="宋体"/>
          <w:spacing w:val="-1"/>
          <w:position w:val="19"/>
          <w:sz w:val="28"/>
          <w:szCs w:val="28"/>
          <w:lang w:eastAsia="zh-CN"/>
        </w:rPr>
        <w:t>征集人:</w:t>
      </w:r>
      <w:r>
        <w:rPr>
          <w:rFonts w:hint="eastAsia" w:ascii="宋体" w:hAnsi="宋体" w:eastAsia="宋体" w:cs="宋体"/>
          <w:spacing w:val="-1"/>
          <w:position w:val="19"/>
          <w:sz w:val="28"/>
          <w:szCs w:val="28"/>
          <w:u w:val="single"/>
          <w:lang w:eastAsia="zh-CN"/>
        </w:rPr>
        <w:t>济宁高新社发投资集团有限公司</w:t>
      </w:r>
    </w:p>
    <w:p w14:paraId="4B38FAD7">
      <w:pPr>
        <w:spacing w:line="222" w:lineRule="auto"/>
        <w:ind w:left="2551" w:leftChars="1215"/>
        <w:rPr>
          <w:rFonts w:hint="eastAsia" w:ascii="宋体" w:hAnsi="宋体" w:eastAsia="宋体" w:cs="宋体"/>
          <w:sz w:val="28"/>
          <w:szCs w:val="28"/>
          <w:lang w:eastAsia="zh-CN"/>
        </w:rPr>
      </w:pPr>
      <w:r>
        <w:rPr>
          <w:rFonts w:hint="eastAsia" w:ascii="宋体" w:hAnsi="宋体" w:eastAsia="宋体" w:cs="宋体"/>
          <w:spacing w:val="-2"/>
          <w:sz w:val="28"/>
          <w:szCs w:val="28"/>
          <w:lang w:eastAsia="zh-CN"/>
        </w:rPr>
        <w:t>入围供应商:</w:t>
      </w:r>
      <w:r>
        <w:rPr>
          <w:rFonts w:hint="eastAsia" w:ascii="宋体" w:hAnsi="宋体" w:eastAsia="宋体" w:cs="宋体"/>
          <w:sz w:val="28"/>
          <w:szCs w:val="28"/>
          <w:u w:val="single"/>
          <w:lang w:eastAsia="zh-CN"/>
        </w:rPr>
        <w:t xml:space="preserve">                    </w:t>
      </w:r>
    </w:p>
    <w:p w14:paraId="32F1C548">
      <w:pPr>
        <w:spacing w:before="207" w:line="224" w:lineRule="auto"/>
        <w:jc w:val="center"/>
        <w:rPr>
          <w:rFonts w:hint="eastAsia" w:ascii="宋体" w:hAnsi="宋体" w:eastAsia="宋体" w:cs="宋体"/>
          <w:sz w:val="28"/>
          <w:szCs w:val="28"/>
          <w:lang w:eastAsia="zh-CN"/>
        </w:rPr>
      </w:pPr>
      <w:r>
        <w:rPr>
          <w:rFonts w:hint="eastAsia" w:ascii="宋体" w:hAnsi="宋体" w:eastAsia="宋体" w:cs="宋体"/>
          <w:spacing w:val="-2"/>
          <w:sz w:val="28"/>
          <w:szCs w:val="28"/>
          <w:lang w:eastAsia="zh-CN"/>
        </w:rPr>
        <w:t>2025年</w:t>
      </w:r>
      <w:r>
        <w:rPr>
          <w:rFonts w:hint="eastAsia" w:ascii="宋体" w:hAnsi="宋体" w:eastAsia="宋体" w:cs="宋体"/>
          <w:spacing w:val="19"/>
          <w:sz w:val="28"/>
          <w:szCs w:val="28"/>
          <w:lang w:val="en-US" w:eastAsia="zh-CN"/>
        </w:rPr>
        <w:t xml:space="preserve">  </w:t>
      </w:r>
      <w:r>
        <w:rPr>
          <w:rFonts w:hint="eastAsia" w:ascii="宋体" w:hAnsi="宋体" w:eastAsia="宋体" w:cs="宋体"/>
          <w:spacing w:val="-2"/>
          <w:sz w:val="28"/>
          <w:szCs w:val="28"/>
          <w:lang w:eastAsia="zh-CN"/>
        </w:rPr>
        <w:t>月</w:t>
      </w:r>
    </w:p>
    <w:p w14:paraId="4E0A56B5">
      <w:pPr>
        <w:spacing w:line="224" w:lineRule="auto"/>
        <w:rPr>
          <w:rFonts w:hint="eastAsia" w:ascii="宋体" w:hAnsi="宋体" w:eastAsia="宋体" w:cs="宋体"/>
          <w:sz w:val="28"/>
          <w:szCs w:val="28"/>
          <w:lang w:eastAsia="zh-CN"/>
        </w:rPr>
        <w:sectPr>
          <w:pgSz w:w="11922" w:h="16839"/>
          <w:pgMar w:top="1134" w:right="1134" w:bottom="1134" w:left="1134" w:header="1134" w:footer="1134" w:gutter="0"/>
          <w:cols w:space="720" w:num="1"/>
          <w:docGrid w:linePitch="286" w:charSpace="0"/>
        </w:sectPr>
      </w:pPr>
    </w:p>
    <w:p w14:paraId="1B7C1576">
      <w:pPr>
        <w:jc w:val="center"/>
        <w:rPr>
          <w:rFonts w:hint="eastAsia" w:ascii="宋体" w:hAnsi="宋体" w:eastAsia="宋体" w:cs="宋体"/>
          <w:b/>
          <w:sz w:val="36"/>
          <w:lang w:eastAsia="zh-CN"/>
        </w:rPr>
      </w:pPr>
      <w:r>
        <w:rPr>
          <w:rFonts w:hint="eastAsia" w:ascii="宋体" w:hAnsi="宋体" w:eastAsia="宋体" w:cs="宋体"/>
          <w:b/>
          <w:sz w:val="36"/>
          <w:lang w:eastAsia="zh-CN"/>
        </w:rPr>
        <w:t>招标代理服务封闭式</w:t>
      </w:r>
    </w:p>
    <w:p w14:paraId="6D4881A5">
      <w:pPr>
        <w:jc w:val="center"/>
        <w:rPr>
          <w:rFonts w:hint="eastAsia" w:ascii="宋体" w:hAnsi="宋体" w:eastAsia="宋体" w:cs="宋体"/>
          <w:b/>
          <w:kern w:val="44"/>
          <w:sz w:val="28"/>
          <w:szCs w:val="24"/>
          <w:lang w:eastAsia="zh-CN"/>
        </w:rPr>
      </w:pPr>
      <w:r>
        <w:rPr>
          <w:rFonts w:hint="eastAsia" w:ascii="宋体" w:hAnsi="宋体" w:eastAsia="宋体" w:cs="宋体"/>
          <w:b/>
          <w:sz w:val="36"/>
          <w:lang w:eastAsia="zh-CN"/>
        </w:rPr>
        <w:t>框架协议</w:t>
      </w:r>
    </w:p>
    <w:p w14:paraId="7D5C0930">
      <w:pPr>
        <w:jc w:val="center"/>
        <w:rPr>
          <w:rFonts w:hint="eastAsia" w:ascii="宋体" w:hAnsi="宋体" w:eastAsia="宋体" w:cs="宋体"/>
          <w:b/>
          <w:bCs/>
          <w:sz w:val="28"/>
          <w:szCs w:val="28"/>
          <w:lang w:eastAsia="zh-CN"/>
        </w:rPr>
      </w:pPr>
    </w:p>
    <w:p w14:paraId="06C1925C">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协议甲方（征集人）：</w:t>
      </w:r>
      <w:r>
        <w:rPr>
          <w:rFonts w:hint="eastAsia" w:ascii="宋体" w:hAnsi="宋体" w:eastAsia="宋体" w:cs="宋体"/>
          <w:sz w:val="24"/>
          <w:szCs w:val="24"/>
          <w:u w:val="single"/>
          <w:lang w:eastAsia="zh-CN"/>
        </w:rPr>
        <w:t>济宁高新社发投资集团有限公司</w:t>
      </w:r>
    </w:p>
    <w:p w14:paraId="55CE844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协议乙方（入围供应商）：</w:t>
      </w:r>
      <w:r>
        <w:rPr>
          <w:rFonts w:hint="eastAsia" w:ascii="宋体" w:hAnsi="宋体" w:eastAsia="宋体" w:cs="宋体"/>
          <w:sz w:val="24"/>
          <w:szCs w:val="24"/>
          <w:u w:val="single"/>
          <w:lang w:val="en-US" w:eastAsia="zh-CN"/>
        </w:rPr>
        <w:t xml:space="preserve">                          </w:t>
      </w:r>
    </w:p>
    <w:p w14:paraId="1A7815C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服务协议签订地点：</w:t>
      </w:r>
      <w:r>
        <w:rPr>
          <w:rFonts w:hint="eastAsia" w:ascii="宋体" w:hAnsi="宋体" w:eastAsia="宋体" w:cs="宋体"/>
          <w:sz w:val="24"/>
          <w:szCs w:val="24"/>
          <w:u w:val="single"/>
          <w:lang w:val="en-US" w:eastAsia="zh-CN"/>
        </w:rPr>
        <w:t xml:space="preserve">                                   </w:t>
      </w:r>
    </w:p>
    <w:p w14:paraId="6F29225B">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bCs/>
          <w:sz w:val="24"/>
          <w:szCs w:val="24"/>
          <w:lang w:eastAsia="zh-CN"/>
        </w:rPr>
        <w:t>框架协议期限：</w:t>
      </w:r>
      <w:r>
        <w:rPr>
          <w:rFonts w:hint="eastAsia" w:ascii="宋体" w:hAnsi="宋体" w:eastAsia="宋体" w:cs="宋体"/>
          <w:bCs/>
          <w:sz w:val="24"/>
          <w:szCs w:val="24"/>
          <w:u w:val="single"/>
          <w:lang w:val="en-US" w:eastAsia="zh-CN"/>
        </w:rPr>
        <w:t xml:space="preserve">                           </w:t>
      </w:r>
    </w:p>
    <w:p w14:paraId="290A8CB3">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乙方在济宁高新社发投资集团有限公司组织的</w:t>
      </w:r>
      <w:r>
        <w:rPr>
          <w:rFonts w:hint="eastAsia" w:ascii="宋体" w:hAnsi="宋体" w:eastAsia="宋体" w:cs="宋体"/>
          <w:sz w:val="24"/>
          <w:szCs w:val="24"/>
          <w:u w:val="single"/>
          <w:lang w:eastAsia="zh-CN"/>
        </w:rPr>
        <w:t>济宁高新社发投资集团有限公司招标代理服务机构框架协议采购项目</w:t>
      </w:r>
      <w:r>
        <w:rPr>
          <w:rFonts w:hint="eastAsia" w:ascii="宋体" w:hAnsi="宋体" w:eastAsia="宋体" w:cs="宋体"/>
          <w:sz w:val="24"/>
          <w:szCs w:val="24"/>
          <w:lang w:eastAsia="zh-CN"/>
        </w:rPr>
        <w:t>框架协议采购中，通过公平竞争，成功入围。现参照《《政府采购框架协议采购方式管理暂行办法》《中华人民共和国民法典》等相关法律法规，甲乙双方经平等协商就框架协议采购事项，订立本框架协议。</w:t>
      </w:r>
    </w:p>
    <w:p w14:paraId="236B6C1E">
      <w:pPr>
        <w:keepNext w:val="0"/>
        <w:keepLines w:val="0"/>
        <w:pageBreakBefore w:val="0"/>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sz w:val="24"/>
          <w:szCs w:val="24"/>
          <w:lang w:eastAsia="zh-CN"/>
        </w:rPr>
      </w:pPr>
      <w:r>
        <w:rPr>
          <w:rFonts w:hint="eastAsia" w:ascii="宋体" w:hAnsi="宋体" w:eastAsia="宋体" w:cs="宋体"/>
          <w:b/>
          <w:sz w:val="24"/>
          <w:szCs w:val="24"/>
          <w:lang w:eastAsia="zh-CN"/>
        </w:rPr>
        <w:t>一、定义</w:t>
      </w:r>
    </w:p>
    <w:p w14:paraId="7E0B96FD">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除非另有特别约定，在本协议以及与本协议有关的甲乙双方另行签订的其他文件中，下列词语按如下定义进行解释：</w:t>
      </w:r>
    </w:p>
    <w:p w14:paraId="6EDF7042">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1.“协议”是指甲方和乙方已达成的协议，即由双方签订的协议格式中的文件。</w:t>
      </w:r>
    </w:p>
    <w:p w14:paraId="6BA987E8">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2.“征集文件”是指《</w:t>
      </w:r>
      <w:r>
        <w:rPr>
          <w:rFonts w:hint="eastAsia" w:ascii="宋体" w:hAnsi="宋体" w:eastAsia="宋体" w:cs="宋体"/>
          <w:sz w:val="24"/>
          <w:szCs w:val="24"/>
          <w:lang w:val="en-US" w:eastAsia="zh-CN"/>
        </w:rPr>
        <w:t>济</w:t>
      </w:r>
      <w:r>
        <w:rPr>
          <w:rFonts w:hint="eastAsia" w:ascii="宋体" w:hAnsi="宋体" w:eastAsia="宋体" w:cs="宋体"/>
          <w:sz w:val="24"/>
          <w:szCs w:val="24"/>
          <w:lang w:eastAsia="zh-CN"/>
        </w:rPr>
        <w:t>宁高新社发投资集团有限公司招标代理服务机构框架协议采购项目征集文件》。</w:t>
      </w:r>
    </w:p>
    <w:p w14:paraId="62B9E498">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3.“入围供应商”是指通过采购框架协议采购项目征集程序，合法取得订立本框架协议资格的供应商。</w:t>
      </w:r>
    </w:p>
    <w:p w14:paraId="35EEB8E6">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4.“协议价格”是指入围供应商第一阶段响应报价（报价承诺）。</w:t>
      </w:r>
    </w:p>
    <w:p w14:paraId="24CD2C2F">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5.“履约保证金”是指在框架协议期内入围供应</w:t>
      </w:r>
      <w:r>
        <w:rPr>
          <w:rFonts w:hint="eastAsia" w:ascii="宋体" w:hAnsi="宋体" w:eastAsia="宋体" w:cs="宋体"/>
          <w:sz w:val="24"/>
          <w:szCs w:val="24"/>
          <w:highlight w:val="none"/>
          <w:lang w:eastAsia="zh-CN"/>
        </w:rPr>
        <w:t>商交纳，金额：</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lang w:eastAsia="zh-CN"/>
        </w:rPr>
        <w:t>万元整，需</w:t>
      </w:r>
      <w:r>
        <w:rPr>
          <w:rFonts w:hint="eastAsia" w:ascii="宋体" w:hAnsi="宋体" w:eastAsia="宋体" w:cs="宋体"/>
          <w:sz w:val="24"/>
          <w:szCs w:val="24"/>
          <w:lang w:eastAsia="zh-CN"/>
        </w:rPr>
        <w:t>在签订框架协议前交纳，协议期间不产生利息。</w:t>
      </w:r>
    </w:p>
    <w:p w14:paraId="46E1BD97">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6.“附件”是指与本协议的订立、履行有关的，经甲乙双方认可的，对本协议约定的内容进行细化、补充、修改、变更的文件、图纸、音像制品等资料，包括并不限于本项目征集文件、乙方响应文件。</w:t>
      </w:r>
    </w:p>
    <w:p w14:paraId="44C17E88">
      <w:pPr>
        <w:keepNext w:val="0"/>
        <w:keepLines w:val="0"/>
        <w:pageBreakBefore w:val="0"/>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sz w:val="24"/>
          <w:szCs w:val="24"/>
          <w:lang w:eastAsia="zh-CN"/>
        </w:rPr>
      </w:pPr>
      <w:r>
        <w:rPr>
          <w:rFonts w:hint="eastAsia" w:ascii="宋体" w:hAnsi="宋体" w:eastAsia="宋体" w:cs="宋体"/>
          <w:b/>
          <w:sz w:val="24"/>
          <w:szCs w:val="24"/>
          <w:lang w:eastAsia="zh-CN"/>
        </w:rPr>
        <w:t>二、适用范围</w:t>
      </w:r>
    </w:p>
    <w:p w14:paraId="0FEC2180">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Cs/>
          <w:sz w:val="24"/>
          <w:szCs w:val="24"/>
          <w:lang w:eastAsia="zh-CN"/>
        </w:rPr>
      </w:pPr>
      <w:r>
        <w:rPr>
          <w:rFonts w:hint="eastAsia" w:ascii="宋体" w:hAnsi="宋体" w:eastAsia="宋体" w:cs="宋体"/>
          <w:sz w:val="24"/>
          <w:szCs w:val="24"/>
          <w:lang w:eastAsia="zh-CN"/>
        </w:rPr>
        <w:t>1.适用框架协议的</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：济宁高新社发投资集团有限公司</w:t>
      </w:r>
    </w:p>
    <w:p w14:paraId="4E47DBE0">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.履行合同的地域范围：济宁高新区</w:t>
      </w:r>
    </w:p>
    <w:p w14:paraId="5C97FFAF">
      <w:pPr>
        <w:keepNext w:val="0"/>
        <w:keepLines w:val="0"/>
        <w:pageBreakBefore w:val="0"/>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sz w:val="24"/>
          <w:szCs w:val="24"/>
          <w:lang w:eastAsia="zh-CN"/>
        </w:rPr>
      </w:pPr>
      <w:r>
        <w:rPr>
          <w:rFonts w:hint="eastAsia" w:ascii="宋体" w:hAnsi="宋体" w:eastAsia="宋体" w:cs="宋体"/>
          <w:b/>
          <w:sz w:val="24"/>
          <w:szCs w:val="24"/>
          <w:lang w:eastAsia="zh-CN"/>
        </w:rPr>
        <w:t>三、协议的组成</w:t>
      </w:r>
    </w:p>
    <w:p w14:paraId="2F8CABB4">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（一）下列文件应作为本协议的组成部分：</w:t>
      </w:r>
    </w:p>
    <w:p w14:paraId="5C783E8E">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1．本协议条款；</w:t>
      </w:r>
    </w:p>
    <w:p w14:paraId="67836FBF">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2．征集文件及征集文件的澄清、修改文件（包括采购需求、服务内容、服务标准、协议价格等）；</w:t>
      </w:r>
    </w:p>
    <w:p w14:paraId="33F9B6D9">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3．响应文件及响应文件的澄清、修改文件；</w:t>
      </w:r>
    </w:p>
    <w:p w14:paraId="1342DA47">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4．成交通知书；</w:t>
      </w:r>
    </w:p>
    <w:p w14:paraId="1D2C30F8">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5．形成协议的其他有关文件。</w:t>
      </w:r>
    </w:p>
    <w:p w14:paraId="3D6041FF">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（二）上述文件互为补充和解释，如有不清或相互矛盾之处，以所列顺序在前的为准，但甲、乙双方有特别约定的除外。</w:t>
      </w:r>
    </w:p>
    <w:p w14:paraId="54F74DEF">
      <w:pPr>
        <w:keepNext w:val="0"/>
        <w:keepLines w:val="0"/>
        <w:pageBreakBefore w:val="0"/>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sz w:val="24"/>
          <w:szCs w:val="24"/>
          <w:lang w:eastAsia="zh-CN"/>
        </w:rPr>
      </w:pPr>
      <w:r>
        <w:rPr>
          <w:rFonts w:hint="eastAsia" w:ascii="宋体" w:hAnsi="宋体" w:eastAsia="宋体" w:cs="宋体"/>
          <w:b/>
          <w:sz w:val="24"/>
          <w:szCs w:val="24"/>
          <w:lang w:eastAsia="zh-CN"/>
        </w:rPr>
        <w:t>四、采购需求</w:t>
      </w:r>
    </w:p>
    <w:p w14:paraId="24B047EF">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1.服务内容及服务要求（详见征集文件）</w:t>
      </w:r>
    </w:p>
    <w:p w14:paraId="744BE22B">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2.入围供应商的服务内容、服务标准（详见乙方的响应文件）</w:t>
      </w:r>
    </w:p>
    <w:p w14:paraId="6DA782FC">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3.协议价格（详见征集文件以及乙方的响应文件）</w:t>
      </w:r>
    </w:p>
    <w:p w14:paraId="4B7168A6">
      <w:pPr>
        <w:keepNext w:val="0"/>
        <w:keepLines w:val="0"/>
        <w:pageBreakBefore w:val="0"/>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sz w:val="24"/>
          <w:szCs w:val="24"/>
          <w:lang w:eastAsia="zh-CN"/>
        </w:rPr>
      </w:pPr>
      <w:r>
        <w:rPr>
          <w:rFonts w:hint="eastAsia" w:ascii="宋体" w:hAnsi="宋体" w:eastAsia="宋体" w:cs="宋体"/>
          <w:b/>
          <w:sz w:val="24"/>
          <w:szCs w:val="24"/>
          <w:lang w:eastAsia="zh-CN"/>
        </w:rPr>
        <w:t>五、确定第二阶段成交供应商</w:t>
      </w:r>
    </w:p>
    <w:p w14:paraId="0CB5DDFC">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eastAsia="zh-CN"/>
        </w:rPr>
        <w:t>依据入围供应商的服务质量以及服务便利性、用户评价等因素，从第一阶段入围供应商中按照以下方式选定。</w:t>
      </w:r>
    </w:p>
    <w:p w14:paraId="05B92688">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eastAsia="zh-CN"/>
        </w:rPr>
        <w:t>（1）单个项目控制价合计大于等于5000元采用一事一议询价方式，由服务商库内单位报价，按照合理低价法的方式确定，评标基准价由招标控制价、投标平均值及系数组成。其中招标控制价由集团确定的招标代理服务费计价依据算出；投标平均值为所有投标报价中去掉最高价、最低价后的算术平均值；评标系数K由现场随机抽取，评标基准价=平均值×系数K1+控制价×系数K2。K1的取值范围为10%、20%、30%、40%、50%、70%、80%、90%中随机抽取确定；K2值为（1-K1数值）。K1在开标时现场随机抽取确定。</w:t>
      </w:r>
    </w:p>
    <w:p w14:paraId="55D3396F">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eastAsia="zh-CN"/>
        </w:rPr>
        <w:t>单位报价与评标基准价的差值为报价偏离值，按照报价偏离值由小到大的顺序，报价低于评标基准价偏离值最小的单位为本项目服务单位。如偏离值相同，则采取现场再次报价方式，直至现场确定最低报价服务单位。中标单位轮空下一轮报价投标，如没有单位参加报价，控制价招标人可根据业务能力指定或随机抽取的方式确定服务单位(由集团综合管理部选择确定方式)。</w:t>
      </w:r>
    </w:p>
    <w:p w14:paraId="6CA4CC0E">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eastAsia="zh-CN"/>
        </w:rPr>
        <w:t>单个项目预算金额在1000万元以下的，招标代理费包含招标文件编制、招标控制价(工程量清单)编制及开评标全过程费用；单个项目预算金额1000万至5000万元的招标代理费报价差额需要保留到千元；5000万元以上的招标代理费报价差额精确到万元。</w:t>
      </w:r>
    </w:p>
    <w:p w14:paraId="59431B33">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eastAsia="zh-CN"/>
        </w:rPr>
        <w:t>（2）单个项目服务费合计小于5000元采用从服务商库内单位中随机方式确定服务单位。项目采用现场摇号机抽取方式确定，分配采用抽签轮回制，即取得项目的单位不再参与下一个项目抽签活动，直至服务商库内单位抽完为止。服务质量、项目团队实力将是项目分配的重要考虑因素。</w:t>
      </w:r>
    </w:p>
    <w:p w14:paraId="7DE6188E">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bCs/>
          <w:sz w:val="24"/>
          <w:szCs w:val="24"/>
          <w:lang w:eastAsia="zh-CN"/>
        </w:rPr>
        <w:t>（3）单个项目预算金额在1亿元以上的三重一大投资项目，由集团综合部全程监督招投标流程。</w:t>
      </w:r>
    </w:p>
    <w:p w14:paraId="49A21DAA">
      <w:pPr>
        <w:keepNext w:val="0"/>
        <w:keepLines w:val="0"/>
        <w:pageBreakBefore w:val="0"/>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sz w:val="24"/>
          <w:szCs w:val="24"/>
          <w:lang w:eastAsia="zh-CN"/>
        </w:rPr>
      </w:pPr>
      <w:r>
        <w:rPr>
          <w:rFonts w:hint="eastAsia" w:ascii="宋体" w:hAnsi="宋体" w:eastAsia="宋体" w:cs="宋体"/>
          <w:b/>
          <w:sz w:val="24"/>
          <w:szCs w:val="24"/>
          <w:lang w:eastAsia="zh-CN"/>
        </w:rPr>
        <w:t>六、支付</w:t>
      </w:r>
    </w:p>
    <w:p w14:paraId="406CB1D4">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1.支付方式：按照采购合同约定的方式支付价款。采购合同对支付方式不明确的，按照有利于实现采购合同目的的方式履行。</w:t>
      </w:r>
    </w:p>
    <w:p w14:paraId="7C37D256">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2.支付时间：甲乙双方约定由项目中标单位支付招标（采购）服务费。</w:t>
      </w:r>
    </w:p>
    <w:p w14:paraId="70EE1396">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3.支付条件：按照采购合同约定的支付条件支付价款。</w:t>
      </w:r>
    </w:p>
    <w:p w14:paraId="5C9F1066">
      <w:pPr>
        <w:keepNext w:val="0"/>
        <w:keepLines w:val="0"/>
        <w:pageBreakBefore w:val="0"/>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sz w:val="24"/>
          <w:szCs w:val="24"/>
          <w:lang w:eastAsia="zh-CN"/>
        </w:rPr>
      </w:pPr>
      <w:r>
        <w:rPr>
          <w:rFonts w:hint="eastAsia" w:ascii="宋体" w:hAnsi="宋体" w:eastAsia="宋体" w:cs="宋体"/>
          <w:b/>
          <w:sz w:val="24"/>
          <w:szCs w:val="24"/>
          <w:lang w:eastAsia="zh-CN"/>
        </w:rPr>
        <w:t>七、考核办法</w:t>
      </w:r>
    </w:p>
    <w:p w14:paraId="35420B3D">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（1）乙方受甲方委托所从事的每一笔招标、非招标方式采购活动，公司实行一单一评价的考核办法，以打分形式进行服务质量评价。（参照附件1）</w:t>
      </w:r>
    </w:p>
    <w:p w14:paraId="27EA0E37">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1）单次考核得分低于六十分(含)的，自评分结果确定之日起一年内，乙方不得从事甲方的代理服务活动;</w:t>
      </w:r>
    </w:p>
    <w:p w14:paraId="743F1444">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2）单次考核得分六十分(不含)以上，八十分(含)以下的，自评分结果确定之日起半年内，乙方不得从事甲方的代理服务活动;</w:t>
      </w:r>
    </w:p>
    <w:p w14:paraId="200C50DD">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3）单次考核得分在八十分(不含)以上，九十分(含)以下的，自评分结果确认之日起一个月内，乙方不得从事甲方的代理服务活动；</w:t>
      </w:r>
    </w:p>
    <w:p w14:paraId="3DBD306E">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4）单次考核得分在九十分以上的，可继续受委托从事下一笔代理服务活动。</w:t>
      </w:r>
    </w:p>
    <w:p w14:paraId="70709FCF">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（2）同时每个年度甲方将对乙方服务情况进行评估，对评估成绩不合格（75分及以下）的实行淘汰，第一年评估成绩优秀（95分及以上）直接入围下一年度集团入围供应商库。（参照附件2）</w:t>
      </w:r>
    </w:p>
    <w:p w14:paraId="30B218DD">
      <w:pPr>
        <w:keepNext w:val="0"/>
        <w:keepLines w:val="0"/>
        <w:pageBreakBefore w:val="0"/>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八、</w:t>
      </w:r>
      <w:r>
        <w:rPr>
          <w:rFonts w:hint="eastAsia" w:ascii="宋体" w:hAnsi="宋体" w:eastAsia="宋体" w:cs="宋体"/>
          <w:b/>
          <w:sz w:val="24"/>
          <w:szCs w:val="24"/>
          <w:lang w:eastAsia="zh-CN"/>
        </w:rPr>
        <w:t>入围供应商的清退</w:t>
      </w:r>
    </w:p>
    <w:p w14:paraId="4AA8714F">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1.依法清退。</w:t>
      </w:r>
      <w:r>
        <w:rPr>
          <w:rFonts w:hint="eastAsia" w:ascii="宋体" w:hAnsi="宋体" w:eastAsia="宋体" w:cs="宋体"/>
          <w:sz w:val="24"/>
          <w:szCs w:val="24"/>
          <w:lang w:val="en-US" w:eastAsia="zh-CN"/>
        </w:rPr>
        <w:t>乙方</w:t>
      </w:r>
      <w:r>
        <w:rPr>
          <w:rFonts w:hint="eastAsia" w:ascii="宋体" w:hAnsi="宋体" w:eastAsia="宋体" w:cs="宋体"/>
          <w:sz w:val="24"/>
          <w:szCs w:val="24"/>
          <w:lang w:eastAsia="zh-CN"/>
        </w:rPr>
        <w:t>有下列情形之一，尚未签订框架协议的，取消其入围资格；已经签订框架协议的，解除与其签订的框架协议：</w:t>
      </w:r>
    </w:p>
    <w:p w14:paraId="156D3D64">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（1）恶意串通谋取入围或者合同成交的；</w:t>
      </w:r>
    </w:p>
    <w:p w14:paraId="0A81233E">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（2）提供虚假材料谋取入围或者合同成交的；</w:t>
      </w:r>
    </w:p>
    <w:p w14:paraId="4A527DA3">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（3）无正当理由拒不接受合同授予的；</w:t>
      </w:r>
    </w:p>
    <w:p w14:paraId="30C645E2">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（4）不履行合同义务或者履行合同义务不符合约定，经征集人请求履行后仍不履行或者仍未按约定履行的；</w:t>
      </w:r>
    </w:p>
    <w:p w14:paraId="7EAAA615">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（5）框架协议有效期内，因违法行为被禁止或限制参加采购活动的；</w:t>
      </w:r>
    </w:p>
    <w:p w14:paraId="5ECB98CC">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2.依协议清退。</w:t>
      </w:r>
      <w:r>
        <w:rPr>
          <w:rFonts w:hint="eastAsia" w:ascii="宋体" w:hAnsi="宋体" w:eastAsia="宋体" w:cs="宋体"/>
          <w:sz w:val="24"/>
          <w:szCs w:val="24"/>
          <w:lang w:val="en-US" w:eastAsia="zh-CN"/>
        </w:rPr>
        <w:t>乙方</w:t>
      </w:r>
      <w:r>
        <w:rPr>
          <w:rFonts w:hint="eastAsia" w:ascii="宋体" w:hAnsi="宋体" w:eastAsia="宋体" w:cs="宋体"/>
          <w:sz w:val="24"/>
          <w:szCs w:val="24"/>
          <w:lang w:eastAsia="zh-CN"/>
        </w:rPr>
        <w:t>有以下情形之一的，甲方有权取消其入围资格：</w:t>
      </w:r>
    </w:p>
    <w:p w14:paraId="09FB7105">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（1）在协议有效期内，乙方不再满足征集公告要求的；</w:t>
      </w:r>
    </w:p>
    <w:p w14:paraId="67953546">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（2）乙方拒绝接受甲方检查或提供虚假资料的；</w:t>
      </w:r>
    </w:p>
    <w:p w14:paraId="395E5845">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（3）在履约情况检查过程中，发现乙方违反本协议的；</w:t>
      </w:r>
    </w:p>
    <w:p w14:paraId="0E57A9D4">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（4）订立采购合同后，乙方因自身原因故意拖延或拒绝签订合同或签订合同后故意拖延或拒绝履约的；</w:t>
      </w:r>
    </w:p>
    <w:p w14:paraId="6D9B78E6">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（5）乙方严重违反本协议，在甲方通知其纠正的限期内未能纠正的；</w:t>
      </w:r>
    </w:p>
    <w:p w14:paraId="3A1F14EE">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（6）乙方采用不正当竞争手段谋取采购合同订立的；</w:t>
      </w:r>
    </w:p>
    <w:p w14:paraId="62CB95DE">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（7）乙方向甲方或征集人有关工作人员行贿或提供其它不正当利益的；</w:t>
      </w:r>
    </w:p>
    <w:p w14:paraId="5F5AEAE2">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（8）因乙方原因影响本协议无法履行或终止的；</w:t>
      </w:r>
    </w:p>
    <w:p w14:paraId="3A1E82F1">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（9）年度评估成绩不合格（75分及以下）的；</w:t>
      </w:r>
    </w:p>
    <w:p w14:paraId="0A6E4B2A">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（10）乙方存在以下情形并经调查属实的：</w:t>
      </w:r>
    </w:p>
    <w:p w14:paraId="202FDAAA">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①乙方超出响应文件的承诺范围收取费用的；</w:t>
      </w:r>
    </w:p>
    <w:p w14:paraId="41804E37">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②乙方向用户提供的服务，质量明显不满足服务合同、征集文件、乙方响应文件和本协议规定标准的；</w:t>
      </w:r>
    </w:p>
    <w:p w14:paraId="55A6135B">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③乙方向用户提供的服务价格明显高于市场同类服务价格的；</w:t>
      </w:r>
    </w:p>
    <w:p w14:paraId="687BED0E">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④乙方其它违反本协议规定的行为。</w:t>
      </w:r>
    </w:p>
    <w:p w14:paraId="30C44D7B">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注：以上两种方式清退时，均需退还履约保证金。依法清退的，甲方有权扣除10%的费用作为违约金（履约保证金总额*10%）剩余履约保证金退还至乙方账户；依协议清退的，甲方有权扣除5%的费用作为违约金（履约保证金总额*5%），剩余履约保证金退还至乙方账户，如违约金数额低于乙方实际给甲方造成的损失，甲方有权扣除相应数额的损失后退还履约保证金。</w:t>
      </w:r>
    </w:p>
    <w:p w14:paraId="70D79B30">
      <w:pPr>
        <w:keepNext w:val="0"/>
        <w:keepLines w:val="0"/>
        <w:pageBreakBefore w:val="0"/>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九、双方权利义务</w:t>
      </w:r>
    </w:p>
    <w:p w14:paraId="7DB92ED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（一）甲方的权利义务</w:t>
      </w:r>
    </w:p>
    <w:p w14:paraId="74C574D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1.甲方依法组织实施框架协议采购活动，并严格遵循公开透明、公平竞争、公正和诚实信用原则。</w:t>
      </w:r>
    </w:p>
    <w:p w14:paraId="183105F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2.甲方为第二阶段合同授予提供必要的工作便利。</w:t>
      </w:r>
    </w:p>
    <w:p w14:paraId="62F97CC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3.甲方应根据国家法律法规规定及政策要求、主管部门要求、甲方相关人员反馈以及行业市场变化等情况适时调整本协议相关内容。</w:t>
      </w:r>
    </w:p>
    <w:p w14:paraId="76BBC9F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4.甲方对项目中标人不按时支付乙方合同款不承担任何责任。</w:t>
      </w:r>
    </w:p>
    <w:p w14:paraId="602584C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5.甲方对乙方在框架协议采购活动中的行为进行管理，并按法律法规规定公开包括但不限于征集文件、入围信息以及第二阶段确定成交供应商情况等信息。</w:t>
      </w:r>
    </w:p>
    <w:p w14:paraId="2C8AF74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6.甲方有权将乙方履行协议和采购合同相关情况向其他利害关系人公开，或按要求提供给相关主管部门。</w:t>
      </w:r>
    </w:p>
    <w:p w14:paraId="25B6541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7.依据法律法规或者本协议相关规定，管理入围供应商资格。</w:t>
      </w:r>
    </w:p>
    <w:p w14:paraId="4C2F680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8.依据框架协议采购文件，签订框架协议1年后，乙方如因自身情况申请退还履 </w:t>
      </w:r>
    </w:p>
    <w:p w14:paraId="2F3B103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约保证金，乙方申请退还履约保证金后，不再参与下一年度甲方及下属各级公司的招标采购代理等工作。</w:t>
      </w:r>
    </w:p>
    <w:p w14:paraId="3190547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9.甲方保证依法履行此协议全部约定义务。</w:t>
      </w:r>
    </w:p>
    <w:p w14:paraId="49AA754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（二）乙方的权利义务</w:t>
      </w:r>
    </w:p>
    <w:p w14:paraId="701262A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1.乙方只有在与甲方签订本协议后，才获得与甲方订立采购合同的有效资格。</w:t>
      </w:r>
    </w:p>
    <w:p w14:paraId="232F861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2.严格执行国家法律法规，合法经营，诚实守信，自觉遵守本协议相关内容。</w:t>
      </w:r>
    </w:p>
    <w:p w14:paraId="34E5899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3.入围供应商在约定期限内，应当以不高于其报价的价格向适用框架协议的甲方提供相应服务。</w:t>
      </w:r>
    </w:p>
    <w:p w14:paraId="493D890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4.乙方严格按照本框架协议内容与甲方订立采购合同，维护甲方的利益。</w:t>
      </w:r>
    </w:p>
    <w:p w14:paraId="299F91E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5.乙方提供的产品或服务应符合国家标准和响应文件要求，乙方提供的产品或者服务涉及的产品迭代、市场变化、政策调整等情况及时向甲方反馈。</w:t>
      </w:r>
    </w:p>
    <w:p w14:paraId="39B000A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6.乙方同意接受并配合甲方的相关监督管理。</w:t>
      </w:r>
    </w:p>
    <w:p w14:paraId="7E84B4E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7.乙方同意甲方为采购工作需要在相关采购业务网站、相关文件上或其他渠道公开发布乙方的协议价格、服务承诺及其它相关信息。</w:t>
      </w:r>
    </w:p>
    <w:p w14:paraId="42AF427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8.签订框架协议1年后，乙方有权利申请退还履约保证金。</w:t>
      </w:r>
    </w:p>
    <w:p w14:paraId="76B536A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9.乙方同意本协议适用的甲方。</w:t>
      </w:r>
    </w:p>
    <w:p w14:paraId="20BF8E5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 乙方有权在发出代理项目中标通知书前从中标单位获取应得服务费。</w:t>
      </w:r>
    </w:p>
    <w:p w14:paraId="5D15E54F">
      <w:pPr>
        <w:keepNext w:val="0"/>
        <w:keepLines w:val="0"/>
        <w:pageBreakBefore w:val="0"/>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十、采购合同</w:t>
      </w:r>
    </w:p>
    <w:p w14:paraId="20ED7D4E">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乙方与甲方在本协议基础上就采购具体事宜订立采购合同，采购合同不得违反本协议内容。</w:t>
      </w:r>
    </w:p>
    <w:p w14:paraId="0A892B70">
      <w:pPr>
        <w:keepNext w:val="0"/>
        <w:keepLines w:val="0"/>
        <w:pageBreakBefore w:val="0"/>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十一、协议有效期</w:t>
      </w:r>
    </w:p>
    <w:p w14:paraId="24A0C1B1">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协议有效期：框架协议签订之日起2年（</w:t>
      </w:r>
      <w:r>
        <w:rPr>
          <w:rFonts w:hint="eastAsia" w:ascii="宋体" w:hAnsi="宋体" w:eastAsia="宋体" w:cs="宋体"/>
          <w:b w:val="0"/>
          <w:bCs/>
          <w:sz w:val="24"/>
          <w:szCs w:val="24"/>
          <w:u w:val="single"/>
          <w:lang w:val="en-US" w:eastAsia="zh-CN"/>
        </w:rPr>
        <w:t xml:space="preserve"> 2025年11月  日至2027年11月  日  </w:t>
      </w:r>
      <w:r>
        <w:rPr>
          <w:rFonts w:hint="eastAsia" w:ascii="宋体" w:hAnsi="宋体" w:eastAsia="宋体" w:cs="宋体"/>
          <w:b w:val="0"/>
          <w:bCs/>
          <w:sz w:val="24"/>
          <w:szCs w:val="24"/>
          <w:lang w:val="en-US" w:eastAsia="zh-CN"/>
        </w:rPr>
        <w:t>）。</w:t>
      </w:r>
    </w:p>
    <w:p w14:paraId="42992214">
      <w:pPr>
        <w:keepNext w:val="0"/>
        <w:keepLines w:val="0"/>
        <w:pageBreakBefore w:val="0"/>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十二、不可抗力</w:t>
      </w:r>
    </w:p>
    <w:p w14:paraId="4B0A98F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协议一方由于受诸如战争、骚乱、瘟疫、严重火灾、洪水、台风、地震等不可抗力事件的影响而不能执行协议时，协议有效期应予以延长，延长的期限应相当于事故所影响的时间。不可抗力事件是指协议双方在缔结协议时所不能预见的，且它的发生及其后果是无法避免和无法克服的。</w:t>
      </w:r>
    </w:p>
    <w:p w14:paraId="0EEA1D0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2.遭受不可抗力一方应在不可抗力事件发生后尽快以书面形式通知对方，并于事件发生后14天内将有关部门出具的证明文件、详细情况报告以及不可抗力对履行协议影响程度的说明用特快专递或挂号信寄给对方。</w:t>
      </w:r>
    </w:p>
    <w:p w14:paraId="22C8855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发生不可抗力时，任何一方均不对因不可抗力无法履行或延迟履行本协议义务而使另一方蒙受损失承担责任，但遭受不可抗力一方有责任尽可能及时采取适当或必要措施减少或消除不可抗力的影响。遭受不可抗力的一方对因未尽本项义务而造成的损失承担赔偿责任。</w:t>
      </w:r>
    </w:p>
    <w:p w14:paraId="2DE90CF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4.一旦不可抗力事件的影响持续120天以上，协议双方通过友好协商，在合理的时间内达成进一步履行协议或终止协议的意见。</w:t>
      </w:r>
    </w:p>
    <w:p w14:paraId="4DC89737">
      <w:pPr>
        <w:keepNext w:val="0"/>
        <w:keepLines w:val="0"/>
        <w:pageBreakBefore w:val="0"/>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sz w:val="24"/>
          <w:szCs w:val="24"/>
          <w:lang w:eastAsia="zh-CN"/>
        </w:rPr>
      </w:pPr>
      <w:bookmarkStart w:id="10" w:name="_Toc26238"/>
      <w:r>
        <w:rPr>
          <w:rFonts w:hint="eastAsia" w:ascii="宋体" w:hAnsi="宋体" w:eastAsia="宋体" w:cs="宋体"/>
          <w:b/>
          <w:sz w:val="24"/>
          <w:szCs w:val="24"/>
          <w:lang w:eastAsia="zh-CN"/>
        </w:rPr>
        <w:t>十三、保密条款</w:t>
      </w:r>
    </w:p>
    <w:p w14:paraId="374B79F0">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任何一方对其获知的本协议涉及的所有有形、无形的信息及资料（包括但不限于甲乙双方的往来书面文件、电子邮件及信息、软盘资料等）中另一方的商业秘密（法律法规规定应予公开的信息除外）或国家秘密负有保密义务。</w:t>
      </w:r>
    </w:p>
    <w:p w14:paraId="498E73A8">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除法律、法规或本协议另有规定，或得到本协议另一方的书面许可外，任何一方不得向第三方泄露前款规定的商业秘密或国家秘密。保密期限自任何一方获知该商业秘密或国家秘密之日起至本条规定的秘密成为公众信息之日止。</w:t>
      </w:r>
    </w:p>
    <w:p w14:paraId="49138918">
      <w:pPr>
        <w:keepNext w:val="0"/>
        <w:keepLines w:val="0"/>
        <w:pageBreakBefore w:val="0"/>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sz w:val="24"/>
          <w:szCs w:val="24"/>
          <w:lang w:eastAsia="zh-CN"/>
        </w:rPr>
      </w:pPr>
      <w:r>
        <w:rPr>
          <w:rFonts w:hint="eastAsia" w:ascii="宋体" w:hAnsi="宋体" w:eastAsia="宋体" w:cs="宋体"/>
          <w:b/>
          <w:sz w:val="24"/>
          <w:szCs w:val="24"/>
          <w:lang w:eastAsia="zh-CN"/>
        </w:rPr>
        <w:t>十四、争议的解决</w:t>
      </w:r>
    </w:p>
    <w:p w14:paraId="2F8E6AFD">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在执行本协议中发生的与本协议有关的争端，甲乙双方应通过友好协商解决，经协商在60天内不能达成协议时，甲乙双方同意将争议提交济宁高新技术产业开发区人民法院。</w:t>
      </w:r>
    </w:p>
    <w:p w14:paraId="2E111C46">
      <w:pPr>
        <w:keepNext w:val="0"/>
        <w:keepLines w:val="0"/>
        <w:pageBreakBefore w:val="0"/>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sz w:val="24"/>
          <w:szCs w:val="24"/>
          <w:lang w:eastAsia="zh-CN"/>
        </w:rPr>
      </w:pPr>
      <w:r>
        <w:rPr>
          <w:rFonts w:hint="eastAsia" w:ascii="宋体" w:hAnsi="宋体" w:eastAsia="宋体" w:cs="宋体"/>
          <w:b/>
          <w:sz w:val="24"/>
          <w:szCs w:val="24"/>
          <w:lang w:eastAsia="zh-CN"/>
        </w:rPr>
        <w:t>十五、协议的解释</w:t>
      </w:r>
    </w:p>
    <w:p w14:paraId="77BE45C0">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1.任何一方对本协议及其附件的解释均应遵循诚实信用原则，依照本协议签订时有效的国家法律、法规以及人们通常的理解进行。</w:t>
      </w:r>
    </w:p>
    <w:p w14:paraId="3A05DB1B">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2.本协议中以日表述的时间期限均指公历日。</w:t>
      </w:r>
    </w:p>
    <w:p w14:paraId="5EC98929">
      <w:pPr>
        <w:keepNext w:val="0"/>
        <w:keepLines w:val="0"/>
        <w:pageBreakBefore w:val="0"/>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sz w:val="24"/>
          <w:szCs w:val="24"/>
          <w:lang w:eastAsia="zh-CN"/>
        </w:rPr>
      </w:pPr>
      <w:r>
        <w:rPr>
          <w:rFonts w:hint="eastAsia" w:ascii="宋体" w:hAnsi="宋体" w:eastAsia="宋体" w:cs="宋体"/>
          <w:b/>
          <w:sz w:val="24"/>
          <w:szCs w:val="24"/>
          <w:lang w:eastAsia="zh-CN"/>
        </w:rPr>
        <w:t>十六、协议修改</w:t>
      </w:r>
    </w:p>
    <w:p w14:paraId="03C0FCDF">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1.对于本协议的未尽事宜，需进行修改、补充或完善的，甲乙双方必须就所修改的内容签订补充协议。</w:t>
      </w:r>
    </w:p>
    <w:p w14:paraId="02B14A43">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2.补充协议与本协议具有同等法律效力，补充协议与本协议不一致的，以补充协议为准。</w:t>
      </w:r>
    </w:p>
    <w:p w14:paraId="6566F92A">
      <w:pPr>
        <w:keepNext w:val="0"/>
        <w:keepLines w:val="0"/>
        <w:pageBreakBefore w:val="0"/>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sz w:val="24"/>
          <w:szCs w:val="24"/>
          <w:lang w:eastAsia="zh-CN"/>
        </w:rPr>
      </w:pPr>
      <w:r>
        <w:rPr>
          <w:rFonts w:hint="eastAsia" w:ascii="宋体" w:hAnsi="宋体" w:eastAsia="宋体" w:cs="宋体"/>
          <w:b/>
          <w:sz w:val="24"/>
          <w:szCs w:val="24"/>
          <w:lang w:eastAsia="zh-CN"/>
        </w:rPr>
        <w:t>十七、协议生效</w:t>
      </w:r>
    </w:p>
    <w:p w14:paraId="78633FE0">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1.除非另有说明，本协议经甲乙双方加盖公章后，即开始生效。</w:t>
      </w:r>
    </w:p>
    <w:p w14:paraId="5EB48E94">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2.本协议中的附件均为本协议不可分割的部分，与本协议具有同等的法律效力。</w:t>
      </w:r>
    </w:p>
    <w:p w14:paraId="0306B073">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 本协议正本一式四份，甲方、乙方各两份，每份正本具有同等法律效力。</w:t>
      </w:r>
    </w:p>
    <w:p w14:paraId="552104F3">
      <w:pPr>
        <w:keepNext w:val="0"/>
        <w:keepLines w:val="0"/>
        <w:pageBreakBefore w:val="0"/>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sz w:val="24"/>
          <w:szCs w:val="24"/>
          <w:lang w:eastAsia="zh-CN"/>
        </w:rPr>
      </w:pPr>
      <w:r>
        <w:rPr>
          <w:rFonts w:hint="eastAsia" w:ascii="宋体" w:hAnsi="宋体" w:eastAsia="宋体" w:cs="宋体"/>
          <w:b/>
          <w:sz w:val="24"/>
          <w:szCs w:val="24"/>
          <w:lang w:eastAsia="zh-CN"/>
        </w:rPr>
        <w:t>十八、协议的终止</w:t>
      </w:r>
    </w:p>
    <w:p w14:paraId="67CDC8BD">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除本协议另有约定外，在有效期内任何一方不得擅自终止，否则应负担所造成的一切损失。如一方因故需终止合同，必须提前三个月书面通知另一方，经双方达成一致意见后，方可终止。终止时需足额退还履约保证金。</w:t>
      </w:r>
    </w:p>
    <w:p w14:paraId="76809851">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2.出现下列情况时本协议自行终止：</w:t>
      </w:r>
    </w:p>
    <w:p w14:paraId="5A8133C6">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（1）本协议正常履行完毕；</w:t>
      </w:r>
    </w:p>
    <w:p w14:paraId="2DA95AE7">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（2）甲乙双方协议终止本协议的履行；</w:t>
      </w:r>
    </w:p>
    <w:p w14:paraId="472CCA10">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（3）不可抗力导致本协议无法履行或履行不必要时；</w:t>
      </w:r>
    </w:p>
    <w:p w14:paraId="32FA5A9C">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（4）一方不履行协议条款，造成另一方无法执行协议，协商又不能求得解决，责任方赔偿损失后，协议终止。</w:t>
      </w:r>
    </w:p>
    <w:p w14:paraId="7C749E08">
      <w:pPr>
        <w:pStyle w:val="7"/>
        <w:keepNext w:val="0"/>
        <w:keepLines w:val="0"/>
        <w:pageBreakBefore w:val="0"/>
        <w:kinsoku w:val="0"/>
        <w:wordWrap/>
        <w:overflowPunct/>
        <w:topLinePunct w:val="0"/>
        <w:autoSpaceDE w:val="0"/>
        <w:autoSpaceDN w:val="0"/>
        <w:bidi w:val="0"/>
        <w:adjustRightInd w:val="0"/>
        <w:snapToGrid w:val="0"/>
        <w:spacing w:after="0" w:line="400" w:lineRule="exact"/>
        <w:ind w:left="0" w:leftChars="0" w:firstLine="440" w:firstLineChars="0"/>
        <w:textAlignment w:val="baseline"/>
        <w:rPr>
          <w:rFonts w:hint="eastAsia" w:ascii="宋体" w:hAnsi="宋体" w:eastAsia="宋体" w:cs="宋体"/>
          <w:color w:val="FF0000"/>
          <w:sz w:val="24"/>
          <w:szCs w:val="24"/>
          <w:highlight w:val="yellow"/>
        </w:rPr>
      </w:pPr>
      <w:r>
        <w:rPr>
          <w:rFonts w:hint="eastAsia" w:ascii="宋体" w:hAnsi="宋体" w:eastAsia="宋体" w:cs="宋体"/>
          <w:sz w:val="24"/>
          <w:szCs w:val="24"/>
        </w:rPr>
        <w:t>3.乙方出现本协议第八条所列违约情形的，甲方有权解除协议，对于由此给乙方造成的损失甲方不承担赔偿责任，对于由此给甲方造成的损失，乙方应负赔偿责任。甲方有权利在履约保证金中扣除相应金额。</w:t>
      </w:r>
    </w:p>
    <w:p w14:paraId="13585341">
      <w:pPr>
        <w:pStyle w:val="7"/>
        <w:keepNext w:val="0"/>
        <w:keepLines w:val="0"/>
        <w:pageBreakBefore w:val="0"/>
        <w:kinsoku w:val="0"/>
        <w:wordWrap/>
        <w:overflowPunct/>
        <w:topLinePunct w:val="0"/>
        <w:autoSpaceDE w:val="0"/>
        <w:autoSpaceDN w:val="0"/>
        <w:bidi w:val="0"/>
        <w:adjustRightInd w:val="0"/>
        <w:snapToGrid w:val="0"/>
        <w:spacing w:after="0" w:line="400" w:lineRule="exact"/>
        <w:ind w:left="0" w:leftChars="0" w:firstLine="440" w:firstLineChars="0"/>
        <w:textAlignment w:val="baseline"/>
        <w:rPr>
          <w:rFonts w:hint="eastAsia" w:ascii="宋体" w:hAnsi="宋体" w:eastAsia="宋体" w:cs="宋体"/>
          <w:sz w:val="24"/>
          <w:szCs w:val="24"/>
        </w:rPr>
      </w:pPr>
      <w:r>
        <w:rPr>
          <w:rFonts w:hint="eastAsia" w:ascii="宋体" w:hAnsi="宋体" w:eastAsia="宋体" w:cs="宋体"/>
          <w:sz w:val="24"/>
          <w:szCs w:val="24"/>
        </w:rPr>
        <w:t>4.协议终止时履约保证金的退还：</w:t>
      </w:r>
    </w:p>
    <w:p w14:paraId="51C600E4">
      <w:pPr>
        <w:pStyle w:val="7"/>
        <w:keepNext w:val="0"/>
        <w:keepLines w:val="0"/>
        <w:pageBreakBefore w:val="0"/>
        <w:kinsoku w:val="0"/>
        <w:wordWrap/>
        <w:overflowPunct/>
        <w:topLinePunct w:val="0"/>
        <w:autoSpaceDE w:val="0"/>
        <w:autoSpaceDN w:val="0"/>
        <w:bidi w:val="0"/>
        <w:adjustRightInd w:val="0"/>
        <w:snapToGrid w:val="0"/>
        <w:spacing w:after="0" w:line="400" w:lineRule="exact"/>
        <w:ind w:left="0" w:leftChars="0" w:firstLine="440" w:firstLineChars="0"/>
        <w:textAlignment w:val="baseline"/>
        <w:rPr>
          <w:rFonts w:hint="eastAsia" w:ascii="宋体" w:hAnsi="宋体" w:eastAsia="宋体" w:cs="宋体"/>
          <w:b/>
          <w:bCs/>
          <w:sz w:val="24"/>
          <w:szCs w:val="24"/>
        </w:rPr>
      </w:pPr>
      <w:r>
        <w:rPr>
          <w:rFonts w:hint="eastAsia" w:ascii="宋体" w:hAnsi="宋体" w:eastAsia="宋体" w:cs="宋体"/>
          <w:sz w:val="24"/>
          <w:szCs w:val="24"/>
        </w:rPr>
        <w:t>退还形式</w:t>
      </w:r>
      <w:r>
        <w:rPr>
          <w:rFonts w:hint="eastAsia" w:ascii="宋体" w:hAnsi="宋体" w:eastAsia="宋体" w:cs="宋体"/>
          <w:b/>
          <w:bCs/>
          <w:sz w:val="24"/>
          <w:szCs w:val="24"/>
        </w:rPr>
        <w:t>：原账户无息退还。如有相关扣除费用，则扣除后原账户无息退还。</w:t>
      </w:r>
    </w:p>
    <w:p w14:paraId="7462FFCB">
      <w:pPr>
        <w:keepNext w:val="0"/>
        <w:keepLines w:val="0"/>
        <w:pageBreakBefore w:val="0"/>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十九、法律适用</w:t>
      </w:r>
    </w:p>
    <w:p w14:paraId="7756308A">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本协议及附件的订立、效力、解释、履行、争议的解决等适用本协议签订时有效的国家法律、法规的有关规定。</w:t>
      </w:r>
    </w:p>
    <w:p w14:paraId="4A45A76F">
      <w:pPr>
        <w:keepNext w:val="0"/>
        <w:keepLines w:val="0"/>
        <w:pageBreakBefore w:val="0"/>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b/>
          <w:sz w:val="24"/>
          <w:szCs w:val="24"/>
          <w:lang w:eastAsia="zh-CN"/>
        </w:rPr>
      </w:pPr>
      <w:r>
        <w:rPr>
          <w:rFonts w:hint="eastAsia" w:ascii="宋体" w:hAnsi="宋体" w:eastAsia="宋体" w:cs="宋体"/>
          <w:b/>
          <w:sz w:val="24"/>
          <w:szCs w:val="24"/>
          <w:lang w:eastAsia="zh-CN"/>
        </w:rPr>
        <w:t>二十、权利的保留</w:t>
      </w:r>
    </w:p>
    <w:p w14:paraId="1D2A223E">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14:paraId="154DAC47">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如果本协议部分条款依据协议生效后颁布的有关法律、法规被确认为无效或无法履行，且该部分无效或无法履行的条款不影响本协议其他条款效力的，本协议其他条款继续有效；同时，协议各方应根据现行有关法律、法规对该部分无效或无法履行的条款进行调整，使其依法成为有效条款，并尽量符合本协议所体现的原则和精神。</w:t>
      </w:r>
    </w:p>
    <w:p w14:paraId="5BE31FE0">
      <w:pPr>
        <w:keepNext w:val="0"/>
        <w:keepLines w:val="0"/>
        <w:pageBreakBefore w:val="0"/>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3.在本协议履行期间，因国家法律、法规、政策的变化致使本协议的部分条款相冲突、无效或失去可强制执行效力时，甲乙双方应尽快修改本协议中相冲突或无效或失去可强制执行效力的条款。</w:t>
      </w:r>
    </w:p>
    <w:p w14:paraId="28E58D23">
      <w:pPr>
        <w:spacing w:line="440" w:lineRule="exact"/>
        <w:rPr>
          <w:rFonts w:hint="eastAsia" w:ascii="宋体" w:hAnsi="宋体" w:eastAsia="宋体" w:cs="宋体"/>
          <w:sz w:val="24"/>
          <w:szCs w:val="24"/>
          <w:lang w:eastAsia="zh-CN"/>
        </w:rPr>
      </w:pPr>
    </w:p>
    <w:p w14:paraId="467470BA">
      <w:pPr>
        <w:spacing w:line="440" w:lineRule="exact"/>
        <w:rPr>
          <w:rFonts w:hint="eastAsia" w:ascii="宋体" w:hAnsi="宋体" w:eastAsia="宋体" w:cs="宋体"/>
          <w:sz w:val="24"/>
          <w:szCs w:val="24"/>
          <w:lang w:eastAsia="zh-CN"/>
        </w:rPr>
      </w:pPr>
    </w:p>
    <w:p w14:paraId="2579331B">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甲方（盖章）                        乙方（盖章）    </w:t>
      </w:r>
    </w:p>
    <w:p w14:paraId="7AB2130B">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授权代表（签字）：                  授权代表（签字）：</w:t>
      </w:r>
    </w:p>
    <w:p w14:paraId="21E3306A">
      <w:pPr>
        <w:spacing w:line="440" w:lineRule="exact"/>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联系电话：                          联系电话：</w:t>
      </w:r>
      <w:r>
        <w:rPr>
          <w:rFonts w:hint="eastAsia" w:ascii="宋体" w:hAnsi="宋体" w:eastAsia="宋体" w:cs="宋体"/>
          <w:sz w:val="24"/>
          <w:szCs w:val="24"/>
          <w:lang w:val="en-US" w:eastAsia="zh-CN"/>
        </w:rPr>
        <w:t xml:space="preserve"> </w:t>
      </w:r>
    </w:p>
    <w:p w14:paraId="20FA80B7">
      <w:pPr>
        <w:spacing w:line="420" w:lineRule="exact"/>
        <w:ind w:left="5060" w:hanging="5520" w:hangingChars="2300"/>
        <w:rPr>
          <w:rFonts w:hint="eastAsia" w:ascii="宋体" w:hAnsi="宋体" w:eastAsia="宋体" w:cs="宋体"/>
          <w:sz w:val="24"/>
          <w:szCs w:val="24"/>
          <w:lang w:eastAsia="zh-CN"/>
        </w:rPr>
      </w:pPr>
      <w:r>
        <w:rPr>
          <w:rFonts w:hint="eastAsia" w:ascii="宋体" w:hAnsi="宋体" w:eastAsia="宋体" w:cs="宋体"/>
          <w:sz w:val="24"/>
          <w:szCs w:val="24"/>
          <w:lang w:eastAsia="zh-CN"/>
        </w:rPr>
        <w:t>单位地址：                          单位地址：</w:t>
      </w:r>
      <w:r>
        <w:rPr>
          <w:rFonts w:hint="eastAsia" w:ascii="宋体" w:hAnsi="宋体" w:eastAsia="宋体" w:cs="宋体"/>
          <w:sz w:val="24"/>
          <w:szCs w:val="24"/>
          <w:lang w:val="en-US" w:eastAsia="zh-CN"/>
        </w:rPr>
        <w:t xml:space="preserve">  </w:t>
      </w:r>
    </w:p>
    <w:p w14:paraId="20BA2DF8">
      <w:pPr>
        <w:spacing w:line="440" w:lineRule="exact"/>
        <w:ind w:left="4320" w:hanging="4320" w:hangingChars="1800"/>
        <w:rPr>
          <w:rFonts w:hint="eastAsia" w:ascii="宋体" w:hAnsi="宋体" w:eastAsia="宋体" w:cs="宋体"/>
          <w:sz w:val="24"/>
          <w:szCs w:val="24"/>
          <w:lang w:eastAsia="zh-CN"/>
        </w:rPr>
      </w:pPr>
      <w:r>
        <w:rPr>
          <w:rFonts w:hint="eastAsia" w:ascii="宋体" w:hAnsi="宋体" w:eastAsia="宋体" w:cs="宋体"/>
          <w:sz w:val="24"/>
          <w:szCs w:val="24"/>
          <w:lang w:eastAsia="zh-CN"/>
        </w:rPr>
        <w:t>签订时间：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   月   日          签订时间：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   月   日</w:t>
      </w:r>
    </w:p>
    <w:p w14:paraId="0195DB5F">
      <w:pPr>
        <w:spacing w:line="440" w:lineRule="exact"/>
        <w:ind w:firstLine="723" w:firstLineChars="200"/>
        <w:jc w:val="center"/>
        <w:outlineLvl w:val="1"/>
        <w:rPr>
          <w:rFonts w:hint="eastAsia" w:ascii="宋体" w:hAnsi="宋体" w:eastAsia="宋体" w:cs="宋体"/>
          <w:b/>
          <w:sz w:val="36"/>
          <w:lang w:eastAsia="zh-CN"/>
        </w:rPr>
      </w:pPr>
    </w:p>
    <w:bookmarkEnd w:id="10"/>
    <w:p w14:paraId="02F8E526">
      <w:pPr>
        <w:spacing w:before="72" w:line="227" w:lineRule="auto"/>
        <w:jc w:val="center"/>
        <w:rPr>
          <w:rFonts w:hint="eastAsia" w:ascii="宋体" w:hAnsi="宋体" w:eastAsia="宋体" w:cs="宋体"/>
          <w:spacing w:val="6"/>
          <w:sz w:val="35"/>
          <w:szCs w:val="35"/>
          <w:lang w:eastAsia="zh-CN"/>
          <w14:textOutline w14:w="6540" w14:cap="sq" w14:cmpd="sng" w14:algn="ctr">
            <w14:solidFill>
              <w14:srgbClr w14:val="000000"/>
            </w14:solidFill>
            <w14:prstDash w14:val="solid"/>
            <w14:bevel/>
          </w14:textOutline>
        </w:rPr>
      </w:pPr>
    </w:p>
    <w:p w14:paraId="6A2B0C0A">
      <w:pPr>
        <w:spacing w:before="72" w:line="227" w:lineRule="auto"/>
        <w:jc w:val="center"/>
        <w:rPr>
          <w:rFonts w:hint="eastAsia" w:ascii="宋体" w:hAnsi="宋体" w:eastAsia="宋体" w:cs="宋体"/>
          <w:spacing w:val="6"/>
          <w:sz w:val="35"/>
          <w:szCs w:val="35"/>
          <w:lang w:eastAsia="zh-CN"/>
          <w14:textOutline w14:w="6540" w14:cap="sq" w14:cmpd="sng" w14:algn="ctr">
            <w14:solidFill>
              <w14:srgbClr w14:val="000000"/>
            </w14:solidFill>
            <w14:prstDash w14:val="solid"/>
            <w14:bevel/>
          </w14:textOutline>
        </w:rPr>
      </w:pPr>
    </w:p>
    <w:p w14:paraId="3FB0F3BD">
      <w:pPr>
        <w:spacing w:before="72" w:line="227" w:lineRule="auto"/>
        <w:jc w:val="center"/>
        <w:rPr>
          <w:rFonts w:hint="eastAsia" w:ascii="宋体" w:hAnsi="宋体" w:eastAsia="宋体" w:cs="宋体"/>
          <w:spacing w:val="6"/>
          <w:sz w:val="35"/>
          <w:szCs w:val="35"/>
          <w:lang w:eastAsia="zh-CN"/>
          <w14:textOutline w14:w="6540" w14:cap="sq" w14:cmpd="sng" w14:algn="ctr">
            <w14:solidFill>
              <w14:srgbClr w14:val="000000"/>
            </w14:solidFill>
            <w14:prstDash w14:val="solid"/>
            <w14:bevel/>
          </w14:textOutline>
        </w:rPr>
      </w:pPr>
    </w:p>
    <w:p w14:paraId="3952B459">
      <w:pPr>
        <w:spacing w:before="72" w:line="227" w:lineRule="auto"/>
        <w:jc w:val="center"/>
        <w:rPr>
          <w:rFonts w:hint="eastAsia" w:ascii="宋体" w:hAnsi="宋体" w:eastAsia="宋体" w:cs="宋体"/>
          <w:spacing w:val="6"/>
          <w:sz w:val="35"/>
          <w:szCs w:val="35"/>
          <w:lang w:eastAsia="zh-CN"/>
          <w14:textOutline w14:w="6540" w14:cap="sq" w14:cmpd="sng" w14:algn="ctr">
            <w14:solidFill>
              <w14:srgbClr w14:val="000000"/>
            </w14:solidFill>
            <w14:prstDash w14:val="solid"/>
            <w14:bevel/>
          </w14:textOutline>
        </w:rPr>
      </w:pPr>
    </w:p>
    <w:p w14:paraId="48281E0F">
      <w:pPr>
        <w:spacing w:before="72" w:line="227" w:lineRule="auto"/>
        <w:jc w:val="center"/>
        <w:rPr>
          <w:rFonts w:hint="eastAsia" w:ascii="宋体" w:hAnsi="宋体" w:eastAsia="宋体" w:cs="宋体"/>
          <w:spacing w:val="6"/>
          <w:sz w:val="35"/>
          <w:szCs w:val="35"/>
          <w:lang w:eastAsia="zh-CN"/>
          <w14:textOutline w14:w="6540" w14:cap="sq" w14:cmpd="sng" w14:algn="ctr">
            <w14:solidFill>
              <w14:srgbClr w14:val="000000"/>
            </w14:solidFill>
            <w14:prstDash w14:val="solid"/>
            <w14:bevel/>
          </w14:textOutline>
        </w:rPr>
      </w:pPr>
    </w:p>
    <w:p w14:paraId="243F3651">
      <w:pPr>
        <w:spacing w:before="72" w:line="227" w:lineRule="auto"/>
        <w:jc w:val="center"/>
        <w:rPr>
          <w:rFonts w:hint="eastAsia" w:ascii="宋体" w:hAnsi="宋体" w:eastAsia="宋体" w:cs="宋体"/>
          <w:spacing w:val="6"/>
          <w:sz w:val="35"/>
          <w:szCs w:val="35"/>
          <w:lang w:eastAsia="zh-CN"/>
          <w14:textOutline w14:w="6540" w14:cap="sq" w14:cmpd="sng" w14:algn="ctr">
            <w14:solidFill>
              <w14:srgbClr w14:val="000000"/>
            </w14:solidFill>
            <w14:prstDash w14:val="solid"/>
            <w14:bevel/>
          </w14:textOutline>
        </w:rPr>
      </w:pPr>
    </w:p>
    <w:p w14:paraId="5BDA8340">
      <w:pPr>
        <w:spacing w:before="72" w:line="227" w:lineRule="auto"/>
        <w:jc w:val="center"/>
        <w:rPr>
          <w:rFonts w:hint="eastAsia" w:ascii="宋体" w:hAnsi="宋体" w:eastAsia="宋体" w:cs="宋体"/>
          <w:spacing w:val="6"/>
          <w:sz w:val="35"/>
          <w:szCs w:val="35"/>
          <w:lang w:eastAsia="zh-CN"/>
          <w14:textOutline w14:w="6540" w14:cap="sq" w14:cmpd="sng" w14:algn="ctr">
            <w14:solidFill>
              <w14:srgbClr w14:val="000000"/>
            </w14:solidFill>
            <w14:prstDash w14:val="solid"/>
            <w14:bevel/>
          </w14:textOutline>
        </w:rPr>
      </w:pPr>
    </w:p>
    <w:p w14:paraId="2F7E99CE">
      <w:pPr>
        <w:spacing w:before="72" w:line="227" w:lineRule="auto"/>
        <w:jc w:val="center"/>
        <w:rPr>
          <w:rFonts w:hint="eastAsia" w:ascii="宋体" w:hAnsi="宋体" w:eastAsia="宋体" w:cs="宋体"/>
          <w:spacing w:val="6"/>
          <w:sz w:val="35"/>
          <w:szCs w:val="35"/>
          <w:lang w:eastAsia="zh-CN"/>
          <w14:textOutline w14:w="6540" w14:cap="sq" w14:cmpd="sng" w14:algn="ctr">
            <w14:solidFill>
              <w14:srgbClr w14:val="000000"/>
            </w14:solidFill>
            <w14:prstDash w14:val="solid"/>
            <w14:bevel/>
          </w14:textOutline>
        </w:rPr>
      </w:pPr>
    </w:p>
    <w:p w14:paraId="2F2B9B88">
      <w:pPr>
        <w:spacing w:before="72" w:line="227" w:lineRule="auto"/>
        <w:jc w:val="center"/>
        <w:rPr>
          <w:rFonts w:hint="eastAsia" w:ascii="宋体" w:hAnsi="宋体" w:eastAsia="宋体" w:cs="宋体"/>
          <w:spacing w:val="6"/>
          <w:sz w:val="35"/>
          <w:szCs w:val="35"/>
          <w:lang w:eastAsia="zh-CN"/>
          <w14:textOutline w14:w="6540" w14:cap="sq" w14:cmpd="sng" w14:algn="ctr">
            <w14:solidFill>
              <w14:srgbClr w14:val="000000"/>
            </w14:solidFill>
            <w14:prstDash w14:val="solid"/>
            <w14:bevel/>
          </w14:textOutline>
        </w:rPr>
      </w:pPr>
    </w:p>
    <w:p w14:paraId="7EE26A1F">
      <w:pPr>
        <w:spacing w:before="72" w:line="227" w:lineRule="auto"/>
        <w:jc w:val="center"/>
        <w:rPr>
          <w:rFonts w:hint="eastAsia" w:ascii="宋体" w:hAnsi="宋体" w:eastAsia="宋体" w:cs="宋体"/>
          <w:spacing w:val="6"/>
          <w:sz w:val="35"/>
          <w:szCs w:val="35"/>
          <w:lang w:eastAsia="zh-CN"/>
          <w14:textOutline w14:w="6540" w14:cap="sq" w14:cmpd="sng" w14:algn="ctr">
            <w14:solidFill>
              <w14:srgbClr w14:val="000000"/>
            </w14:solidFill>
            <w14:prstDash w14:val="solid"/>
            <w14:bevel/>
          </w14:textOutline>
        </w:rPr>
      </w:pPr>
    </w:p>
    <w:p w14:paraId="5DA78397">
      <w:pPr>
        <w:spacing w:before="72" w:line="227" w:lineRule="auto"/>
        <w:jc w:val="center"/>
        <w:rPr>
          <w:rFonts w:hint="eastAsia" w:ascii="宋体" w:hAnsi="宋体" w:eastAsia="宋体" w:cs="宋体"/>
          <w:spacing w:val="6"/>
          <w:sz w:val="35"/>
          <w:szCs w:val="35"/>
          <w:lang w:eastAsia="zh-CN"/>
          <w14:textOutline w14:w="6540" w14:cap="sq" w14:cmpd="sng" w14:algn="ctr">
            <w14:solidFill>
              <w14:srgbClr w14:val="000000"/>
            </w14:solidFill>
            <w14:prstDash w14:val="solid"/>
            <w14:bevel/>
          </w14:textOutline>
        </w:rPr>
      </w:pPr>
    </w:p>
    <w:p w14:paraId="248BAAD4">
      <w:pPr>
        <w:spacing w:before="72" w:line="227" w:lineRule="auto"/>
        <w:jc w:val="center"/>
        <w:rPr>
          <w:rFonts w:hint="eastAsia" w:ascii="宋体" w:hAnsi="宋体" w:eastAsia="宋体" w:cs="宋体"/>
          <w:spacing w:val="6"/>
          <w:sz w:val="35"/>
          <w:szCs w:val="35"/>
          <w:lang w:eastAsia="zh-CN"/>
          <w14:textOutline w14:w="6540" w14:cap="sq" w14:cmpd="sng" w14:algn="ctr">
            <w14:solidFill>
              <w14:srgbClr w14:val="000000"/>
            </w14:solidFill>
            <w14:prstDash w14:val="solid"/>
            <w14:bevel/>
          </w14:textOutline>
        </w:rPr>
      </w:pPr>
    </w:p>
    <w:p w14:paraId="43FD10AF">
      <w:pPr>
        <w:spacing w:before="72" w:line="227" w:lineRule="auto"/>
        <w:jc w:val="center"/>
        <w:rPr>
          <w:rFonts w:hint="eastAsia" w:ascii="宋体" w:hAnsi="宋体" w:eastAsia="宋体" w:cs="宋体"/>
          <w:spacing w:val="6"/>
          <w:sz w:val="35"/>
          <w:szCs w:val="35"/>
          <w:lang w:eastAsia="zh-CN"/>
          <w14:textOutline w14:w="6540" w14:cap="sq" w14:cmpd="sng" w14:algn="ctr">
            <w14:solidFill>
              <w14:srgbClr w14:val="000000"/>
            </w14:solidFill>
            <w14:prstDash w14:val="solid"/>
            <w14:bevel/>
          </w14:textOutline>
        </w:rPr>
      </w:pPr>
    </w:p>
    <w:p w14:paraId="16E9065A">
      <w:pPr>
        <w:spacing w:before="72" w:line="227" w:lineRule="auto"/>
        <w:jc w:val="center"/>
        <w:rPr>
          <w:rFonts w:hint="eastAsia" w:ascii="宋体" w:hAnsi="宋体" w:eastAsia="宋体" w:cs="宋体"/>
          <w:spacing w:val="6"/>
          <w:sz w:val="35"/>
          <w:szCs w:val="35"/>
          <w:lang w:eastAsia="zh-CN"/>
          <w14:textOutline w14:w="6540" w14:cap="sq" w14:cmpd="sng" w14:algn="ctr">
            <w14:solidFill>
              <w14:srgbClr w14:val="000000"/>
            </w14:solidFill>
            <w14:prstDash w14:val="solid"/>
            <w14:bevel/>
          </w14:textOutline>
        </w:rPr>
      </w:pPr>
    </w:p>
    <w:p w14:paraId="06F44152">
      <w:pPr>
        <w:spacing w:before="72" w:line="227" w:lineRule="auto"/>
        <w:jc w:val="center"/>
        <w:rPr>
          <w:rFonts w:hint="eastAsia" w:ascii="宋体" w:hAnsi="宋体" w:eastAsia="宋体" w:cs="宋体"/>
          <w:spacing w:val="6"/>
          <w:sz w:val="35"/>
          <w:szCs w:val="35"/>
          <w:lang w:eastAsia="zh-CN"/>
          <w14:textOutline w14:w="6540" w14:cap="sq" w14:cmpd="sng" w14:algn="ctr">
            <w14:solidFill>
              <w14:srgbClr w14:val="000000"/>
            </w14:solidFill>
            <w14:prstDash w14:val="solid"/>
            <w14:bevel/>
          </w14:textOutline>
        </w:rPr>
      </w:pPr>
    </w:p>
    <w:p w14:paraId="464E237B">
      <w:pPr>
        <w:spacing w:before="72" w:line="227" w:lineRule="auto"/>
        <w:jc w:val="center"/>
        <w:rPr>
          <w:rFonts w:hint="eastAsia" w:ascii="宋体" w:hAnsi="宋体" w:eastAsia="宋体" w:cs="宋体"/>
          <w:spacing w:val="6"/>
          <w:sz w:val="35"/>
          <w:szCs w:val="35"/>
          <w:lang w:eastAsia="zh-CN"/>
          <w14:textOutline w14:w="6540" w14:cap="sq" w14:cmpd="sng" w14:algn="ctr">
            <w14:solidFill>
              <w14:srgbClr w14:val="000000"/>
            </w14:solidFill>
            <w14:prstDash w14:val="solid"/>
            <w14:bevel/>
          </w14:textOutline>
        </w:rPr>
      </w:pPr>
    </w:p>
    <w:p w14:paraId="56401BB8">
      <w:pPr>
        <w:spacing w:before="72" w:line="227" w:lineRule="auto"/>
        <w:jc w:val="center"/>
        <w:rPr>
          <w:rFonts w:hint="eastAsia" w:ascii="宋体" w:hAnsi="宋体" w:eastAsia="宋体" w:cs="宋体"/>
          <w:spacing w:val="6"/>
          <w:sz w:val="35"/>
          <w:szCs w:val="35"/>
          <w:lang w:eastAsia="zh-CN"/>
          <w14:textOutline w14:w="6540" w14:cap="sq" w14:cmpd="sng" w14:algn="ctr">
            <w14:solidFill>
              <w14:srgbClr w14:val="000000"/>
            </w14:solidFill>
            <w14:prstDash w14:val="solid"/>
            <w14:bevel/>
          </w14:textOutline>
        </w:rPr>
      </w:pPr>
    </w:p>
    <w:p w14:paraId="38DC35DC">
      <w:pPr>
        <w:spacing w:before="72" w:line="227" w:lineRule="auto"/>
        <w:jc w:val="center"/>
        <w:rPr>
          <w:rFonts w:hint="eastAsia" w:ascii="宋体" w:hAnsi="宋体" w:eastAsia="宋体" w:cs="宋体"/>
          <w:spacing w:val="6"/>
          <w:sz w:val="35"/>
          <w:szCs w:val="35"/>
          <w:lang w:eastAsia="zh-CN"/>
          <w14:textOutline w14:w="6540" w14:cap="sq" w14:cmpd="sng" w14:algn="ctr">
            <w14:solidFill>
              <w14:srgbClr w14:val="000000"/>
            </w14:solidFill>
            <w14:prstDash w14:val="solid"/>
            <w14:bevel/>
          </w14:textOutline>
        </w:rPr>
      </w:pPr>
    </w:p>
    <w:p w14:paraId="12845BA3">
      <w:pPr>
        <w:rPr>
          <w:rFonts w:ascii="方正仿宋简体" w:eastAsia="方正仿宋简体"/>
          <w:sz w:val="32"/>
          <w:szCs w:val="32"/>
        </w:rPr>
      </w:pPr>
      <w:r>
        <w:rPr>
          <w:rFonts w:hint="eastAsia" w:ascii="方正仿宋简体" w:eastAsia="方正仿宋简体"/>
          <w:sz w:val="32"/>
          <w:szCs w:val="32"/>
        </w:rPr>
        <w:t>附件</w:t>
      </w:r>
      <w:r>
        <w:rPr>
          <w:rFonts w:hint="eastAsia" w:ascii="方正仿宋简体" w:eastAsia="方正仿宋简体"/>
          <w:sz w:val="32"/>
          <w:szCs w:val="32"/>
          <w:lang w:eastAsia="zh-CN"/>
        </w:rPr>
        <w:t>1</w:t>
      </w:r>
      <w:r>
        <w:rPr>
          <w:rFonts w:hint="eastAsia" w:ascii="方正仿宋简体" w:eastAsia="方正仿宋简体"/>
          <w:sz w:val="32"/>
          <w:szCs w:val="32"/>
        </w:rPr>
        <w:t>：</w:t>
      </w:r>
    </w:p>
    <w:tbl>
      <w:tblPr>
        <w:tblStyle w:val="15"/>
        <w:tblW w:w="9560" w:type="dxa"/>
        <w:jc w:val="center"/>
        <w:tblLayout w:type="fixed"/>
        <w:tblCellMar>
          <w:top w:w="15" w:type="dxa"/>
          <w:left w:w="15" w:type="dxa"/>
          <w:bottom w:w="15" w:type="dxa"/>
          <w:right w:w="15" w:type="dxa"/>
        </w:tblCellMar>
      </w:tblPr>
      <w:tblGrid>
        <w:gridCol w:w="692"/>
        <w:gridCol w:w="1385"/>
        <w:gridCol w:w="6927"/>
        <w:gridCol w:w="556"/>
      </w:tblGrid>
      <w:tr w14:paraId="27BE5F71">
        <w:tblPrEx>
          <w:tblCellMar>
            <w:top w:w="15" w:type="dxa"/>
            <w:left w:w="15" w:type="dxa"/>
            <w:bottom w:w="15" w:type="dxa"/>
            <w:right w:w="15" w:type="dxa"/>
          </w:tblCellMar>
        </w:tblPrEx>
        <w:trPr>
          <w:trHeight w:val="654" w:hRule="atLeast"/>
          <w:jc w:val="center"/>
        </w:trPr>
        <w:tc>
          <w:tcPr>
            <w:tcW w:w="9560" w:type="dxa"/>
            <w:gridSpan w:val="4"/>
            <w:tcBorders>
              <w:top w:val="nil"/>
              <w:left w:val="nil"/>
              <w:bottom w:val="nil"/>
              <w:right w:val="nil"/>
            </w:tcBorders>
            <w:noWrap w:val="0"/>
            <w:vAlign w:val="center"/>
          </w:tcPr>
          <w:p w14:paraId="0681E016">
            <w:pPr>
              <w:kinsoku/>
              <w:autoSpaceDE/>
              <w:autoSpaceDN/>
              <w:adjustRightInd/>
              <w:snapToGrid/>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36"/>
                <w:szCs w:val="36"/>
                <w:lang w:eastAsia="zh-CN"/>
              </w:rPr>
              <w:t>招标代理服务商服务质量评价表</w:t>
            </w:r>
          </w:p>
        </w:tc>
      </w:tr>
      <w:tr w14:paraId="77D3E94D">
        <w:tblPrEx>
          <w:tblCellMar>
            <w:top w:w="15" w:type="dxa"/>
            <w:left w:w="15" w:type="dxa"/>
            <w:bottom w:w="15" w:type="dxa"/>
            <w:right w:w="15" w:type="dxa"/>
          </w:tblCellMar>
        </w:tblPrEx>
        <w:trPr>
          <w:trHeight w:val="965" w:hRule="atLeast"/>
          <w:jc w:val="center"/>
        </w:trPr>
        <w:tc>
          <w:tcPr>
            <w:tcW w:w="692" w:type="dxa"/>
            <w:tcBorders>
              <w:top w:val="nil"/>
              <w:left w:val="nil"/>
              <w:bottom w:val="single" w:color="auto" w:sz="4" w:space="0"/>
              <w:right w:val="nil"/>
            </w:tcBorders>
            <w:noWrap w:val="0"/>
            <w:vAlign w:val="center"/>
          </w:tcPr>
          <w:p w14:paraId="2C54B008">
            <w:pPr>
              <w:kinsoku/>
              <w:autoSpaceDE/>
              <w:autoSpaceDN/>
              <w:adjustRightInd/>
              <w:snapToGrid/>
              <w:spacing w:line="360" w:lineRule="auto"/>
              <w:rPr>
                <w:rFonts w:hint="eastAsia" w:ascii="宋体" w:hAnsi="宋体" w:eastAsia="宋体" w:cs="宋体"/>
                <w:bCs/>
                <w:sz w:val="24"/>
                <w:szCs w:val="24"/>
                <w:lang w:eastAsia="zh-CN"/>
              </w:rPr>
            </w:pPr>
          </w:p>
        </w:tc>
        <w:tc>
          <w:tcPr>
            <w:tcW w:w="1385" w:type="dxa"/>
            <w:tcBorders>
              <w:top w:val="nil"/>
              <w:left w:val="nil"/>
              <w:bottom w:val="single" w:color="auto" w:sz="4" w:space="0"/>
              <w:right w:val="nil"/>
            </w:tcBorders>
            <w:noWrap w:val="0"/>
            <w:vAlign w:val="center"/>
          </w:tcPr>
          <w:p w14:paraId="42EAD3F8">
            <w:pPr>
              <w:kinsoku/>
              <w:autoSpaceDE/>
              <w:autoSpaceDN/>
              <w:adjustRightInd/>
              <w:snapToGrid/>
              <w:spacing w:line="360" w:lineRule="auto"/>
              <w:rPr>
                <w:rFonts w:hint="eastAsia" w:ascii="宋体" w:hAnsi="宋体" w:eastAsia="宋体" w:cs="宋体"/>
                <w:bCs/>
                <w:sz w:val="24"/>
                <w:szCs w:val="24"/>
                <w:lang w:eastAsia="zh-CN"/>
              </w:rPr>
            </w:pPr>
          </w:p>
        </w:tc>
        <w:tc>
          <w:tcPr>
            <w:tcW w:w="7483" w:type="dxa"/>
            <w:gridSpan w:val="2"/>
            <w:tcBorders>
              <w:top w:val="nil"/>
              <w:left w:val="nil"/>
              <w:bottom w:val="single" w:color="auto" w:sz="4" w:space="0"/>
              <w:right w:val="nil"/>
            </w:tcBorders>
            <w:noWrap w:val="0"/>
            <w:vAlign w:val="center"/>
          </w:tcPr>
          <w:p w14:paraId="393487F4">
            <w:pPr>
              <w:kinsoku/>
              <w:autoSpaceDE/>
              <w:autoSpaceDN/>
              <w:adjustRightInd/>
              <w:snapToGrid/>
              <w:spacing w:line="360" w:lineRule="auto"/>
              <w:jc w:val="right"/>
              <w:textAlignment w:val="center"/>
              <w:rPr>
                <w:rFonts w:hint="eastAsia" w:ascii="宋体" w:hAnsi="宋体" w:eastAsia="宋体" w:cs="宋体"/>
                <w:bCs/>
                <w:sz w:val="24"/>
                <w:szCs w:val="24"/>
              </w:rPr>
            </w:pPr>
            <w:r>
              <w:rPr>
                <w:rFonts w:hint="eastAsia" w:ascii="宋体" w:hAnsi="宋体" w:eastAsia="宋体" w:cs="宋体"/>
                <w:bCs/>
                <w:sz w:val="24"/>
                <w:szCs w:val="24"/>
                <w:lang w:eastAsia="zh-CN"/>
              </w:rPr>
              <w:t xml:space="preserve">                                                                   </w:t>
            </w:r>
            <w:r>
              <w:rPr>
                <w:rFonts w:hint="eastAsia" w:ascii="宋体" w:hAnsi="宋体" w:eastAsia="宋体" w:cs="宋体"/>
                <w:bCs/>
                <w:sz w:val="24"/>
                <w:szCs w:val="24"/>
              </w:rPr>
              <w:t>日期：   年   月   日</w:t>
            </w:r>
          </w:p>
        </w:tc>
      </w:tr>
      <w:tr w14:paraId="7AB139C7">
        <w:tblPrEx>
          <w:tblCellMar>
            <w:top w:w="15" w:type="dxa"/>
            <w:left w:w="15" w:type="dxa"/>
            <w:bottom w:w="15" w:type="dxa"/>
            <w:right w:w="15" w:type="dxa"/>
          </w:tblCellMar>
        </w:tblPrEx>
        <w:trPr>
          <w:trHeight w:val="975" w:hRule="atLeast"/>
          <w:jc w:val="center"/>
        </w:trPr>
        <w:tc>
          <w:tcPr>
            <w:tcW w:w="2077" w:type="dxa"/>
            <w:gridSpan w:val="2"/>
            <w:tcBorders>
              <w:top w:val="single" w:color="auto" w:sz="4" w:space="0"/>
              <w:left w:val="single" w:color="auto" w:sz="4" w:space="0"/>
              <w:bottom w:val="single" w:color="auto" w:sz="4" w:space="0"/>
              <w:right w:val="single" w:color="auto" w:sz="4" w:space="0"/>
            </w:tcBorders>
            <w:noWrap w:val="0"/>
            <w:vAlign w:val="center"/>
          </w:tcPr>
          <w:p w14:paraId="2227A8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代理公司名称及</w:t>
            </w:r>
          </w:p>
          <w:p w14:paraId="722F391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联系人姓名电话</w:t>
            </w:r>
          </w:p>
        </w:tc>
        <w:tc>
          <w:tcPr>
            <w:tcW w:w="7483" w:type="dxa"/>
            <w:gridSpan w:val="2"/>
            <w:tcBorders>
              <w:top w:val="single" w:color="auto" w:sz="4" w:space="0"/>
              <w:left w:val="single" w:color="auto" w:sz="4" w:space="0"/>
              <w:bottom w:val="single" w:color="auto" w:sz="4" w:space="0"/>
              <w:right w:val="single" w:color="auto" w:sz="4" w:space="0"/>
            </w:tcBorders>
            <w:noWrap w:val="0"/>
            <w:vAlign w:val="center"/>
          </w:tcPr>
          <w:p w14:paraId="0ED0F1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Cs/>
                <w:sz w:val="24"/>
                <w:szCs w:val="24"/>
                <w:lang w:eastAsia="zh-CN"/>
              </w:rPr>
            </w:pPr>
          </w:p>
          <w:p w14:paraId="668348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Cs/>
                <w:sz w:val="24"/>
                <w:szCs w:val="24"/>
                <w:lang w:eastAsia="zh-CN"/>
              </w:rPr>
            </w:pPr>
          </w:p>
        </w:tc>
      </w:tr>
      <w:tr w14:paraId="3867CC4E">
        <w:tblPrEx>
          <w:tblCellMar>
            <w:top w:w="15" w:type="dxa"/>
            <w:left w:w="15" w:type="dxa"/>
            <w:bottom w:w="15" w:type="dxa"/>
            <w:right w:w="15" w:type="dxa"/>
          </w:tblCellMar>
        </w:tblPrEx>
        <w:trPr>
          <w:trHeight w:val="975" w:hRule="atLeast"/>
          <w:jc w:val="center"/>
        </w:trPr>
        <w:tc>
          <w:tcPr>
            <w:tcW w:w="2077" w:type="dxa"/>
            <w:gridSpan w:val="2"/>
            <w:tcBorders>
              <w:top w:val="single" w:color="auto" w:sz="4" w:space="0"/>
              <w:left w:val="single" w:color="auto" w:sz="4" w:space="0"/>
              <w:bottom w:val="single" w:color="auto" w:sz="4" w:space="0"/>
              <w:right w:val="single" w:color="auto" w:sz="4" w:space="0"/>
            </w:tcBorders>
            <w:noWrap w:val="0"/>
            <w:vAlign w:val="center"/>
          </w:tcPr>
          <w:p w14:paraId="4E3333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代理项目名称、编号</w:t>
            </w:r>
          </w:p>
        </w:tc>
        <w:tc>
          <w:tcPr>
            <w:tcW w:w="7483" w:type="dxa"/>
            <w:gridSpan w:val="2"/>
            <w:tcBorders>
              <w:top w:val="single" w:color="auto" w:sz="4" w:space="0"/>
              <w:left w:val="single" w:color="auto" w:sz="4" w:space="0"/>
              <w:bottom w:val="single" w:color="auto" w:sz="4" w:space="0"/>
              <w:right w:val="single" w:color="auto" w:sz="4" w:space="0"/>
            </w:tcBorders>
            <w:noWrap w:val="0"/>
            <w:vAlign w:val="center"/>
          </w:tcPr>
          <w:p w14:paraId="3BE1F2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Cs/>
                <w:sz w:val="24"/>
                <w:szCs w:val="24"/>
              </w:rPr>
            </w:pPr>
          </w:p>
          <w:p w14:paraId="65EEF7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Cs/>
                <w:sz w:val="24"/>
                <w:szCs w:val="24"/>
              </w:rPr>
            </w:pPr>
          </w:p>
        </w:tc>
      </w:tr>
      <w:tr w14:paraId="240D7F3E">
        <w:tblPrEx>
          <w:tblCellMar>
            <w:top w:w="15" w:type="dxa"/>
            <w:left w:w="15" w:type="dxa"/>
            <w:bottom w:w="15" w:type="dxa"/>
            <w:right w:w="15" w:type="dxa"/>
          </w:tblCellMar>
        </w:tblPrEx>
        <w:trPr>
          <w:trHeight w:val="975" w:hRule="atLeast"/>
          <w:jc w:val="center"/>
        </w:trPr>
        <w:tc>
          <w:tcPr>
            <w:tcW w:w="2077" w:type="dxa"/>
            <w:gridSpan w:val="2"/>
            <w:tcBorders>
              <w:top w:val="single" w:color="auto" w:sz="4" w:space="0"/>
              <w:left w:val="single" w:color="auto" w:sz="4" w:space="0"/>
              <w:bottom w:val="single" w:color="auto" w:sz="4" w:space="0"/>
              <w:right w:val="single" w:color="auto" w:sz="4" w:space="0"/>
            </w:tcBorders>
            <w:noWrap w:val="0"/>
            <w:vAlign w:val="center"/>
          </w:tcPr>
          <w:p w14:paraId="1F9F9F4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招标（采购）人及联系人姓名电话</w:t>
            </w:r>
          </w:p>
        </w:tc>
        <w:tc>
          <w:tcPr>
            <w:tcW w:w="7483" w:type="dxa"/>
            <w:gridSpan w:val="2"/>
            <w:tcBorders>
              <w:top w:val="single" w:color="auto" w:sz="4" w:space="0"/>
              <w:left w:val="single" w:color="auto" w:sz="4" w:space="0"/>
              <w:bottom w:val="single" w:color="auto" w:sz="4" w:space="0"/>
              <w:right w:val="single" w:color="auto" w:sz="4" w:space="0"/>
            </w:tcBorders>
            <w:noWrap w:val="0"/>
            <w:vAlign w:val="center"/>
          </w:tcPr>
          <w:p w14:paraId="1A5A2F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Cs/>
                <w:sz w:val="24"/>
                <w:szCs w:val="24"/>
                <w:lang w:eastAsia="zh-CN"/>
              </w:rPr>
            </w:pPr>
          </w:p>
          <w:p w14:paraId="16737E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Cs/>
                <w:sz w:val="24"/>
                <w:szCs w:val="24"/>
                <w:lang w:eastAsia="zh-CN"/>
              </w:rPr>
            </w:pPr>
          </w:p>
        </w:tc>
      </w:tr>
      <w:tr w14:paraId="2D3AAB8F">
        <w:tblPrEx>
          <w:tblCellMar>
            <w:top w:w="15" w:type="dxa"/>
            <w:left w:w="15" w:type="dxa"/>
            <w:bottom w:w="15" w:type="dxa"/>
            <w:right w:w="15" w:type="dxa"/>
          </w:tblCellMar>
        </w:tblPrEx>
        <w:trPr>
          <w:trHeight w:val="591"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14:paraId="2387201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8312" w:type="dxa"/>
            <w:gridSpan w:val="2"/>
            <w:tcBorders>
              <w:top w:val="single" w:color="auto" w:sz="4" w:space="0"/>
              <w:left w:val="single" w:color="auto" w:sz="4" w:space="0"/>
              <w:bottom w:val="single" w:color="auto" w:sz="4" w:space="0"/>
              <w:right w:val="single" w:color="auto" w:sz="4" w:space="0"/>
            </w:tcBorders>
            <w:noWrap w:val="0"/>
            <w:vAlign w:val="center"/>
          </w:tcPr>
          <w:p w14:paraId="5F3978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评价内容</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3633B12A">
            <w:pPr>
              <w:kinsoku/>
              <w:autoSpaceDE/>
              <w:autoSpaceDN/>
              <w:adjustRightInd/>
              <w:snapToGrid/>
              <w:spacing w:line="360" w:lineRule="auto"/>
              <w:textAlignment w:val="center"/>
              <w:rPr>
                <w:rFonts w:hint="eastAsia" w:ascii="宋体" w:hAnsi="宋体" w:eastAsia="宋体" w:cs="宋体"/>
                <w:bCs/>
                <w:sz w:val="24"/>
                <w:szCs w:val="24"/>
              </w:rPr>
            </w:pPr>
            <w:r>
              <w:rPr>
                <w:rFonts w:hint="eastAsia" w:ascii="宋体" w:hAnsi="宋体" w:eastAsia="宋体" w:cs="宋体"/>
                <w:bCs/>
                <w:sz w:val="24"/>
                <w:szCs w:val="24"/>
              </w:rPr>
              <w:t>得分</w:t>
            </w:r>
          </w:p>
        </w:tc>
      </w:tr>
      <w:tr w14:paraId="6713FF22">
        <w:tblPrEx>
          <w:tblCellMar>
            <w:top w:w="15" w:type="dxa"/>
            <w:left w:w="15" w:type="dxa"/>
            <w:bottom w:w="15" w:type="dxa"/>
            <w:right w:w="15" w:type="dxa"/>
          </w:tblCellMar>
        </w:tblPrEx>
        <w:trPr>
          <w:trHeight w:val="2920" w:hRule="atLeast"/>
          <w:jc w:val="center"/>
        </w:trPr>
        <w:tc>
          <w:tcPr>
            <w:tcW w:w="692" w:type="dxa"/>
            <w:vMerge w:val="restart"/>
            <w:tcBorders>
              <w:top w:val="single" w:color="auto" w:sz="4" w:space="0"/>
              <w:left w:val="single" w:color="auto" w:sz="4" w:space="0"/>
              <w:bottom w:val="single" w:color="auto" w:sz="4" w:space="0"/>
              <w:right w:val="single" w:color="auto" w:sz="4" w:space="0"/>
            </w:tcBorders>
            <w:noWrap w:val="0"/>
            <w:vAlign w:val="center"/>
          </w:tcPr>
          <w:p w14:paraId="51964FA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385" w:type="dxa"/>
            <w:vMerge w:val="restart"/>
            <w:tcBorders>
              <w:top w:val="single" w:color="auto" w:sz="4" w:space="0"/>
              <w:left w:val="single" w:color="auto" w:sz="4" w:space="0"/>
              <w:bottom w:val="single" w:color="auto" w:sz="4" w:space="0"/>
              <w:right w:val="single" w:color="auto" w:sz="4" w:space="0"/>
            </w:tcBorders>
            <w:noWrap w:val="0"/>
            <w:vAlign w:val="center"/>
          </w:tcPr>
          <w:p w14:paraId="3EC812F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采购文件编制情况（50分）</w:t>
            </w:r>
          </w:p>
          <w:p w14:paraId="227001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说明：非招标代理机构原因所致的修改（含增加或删除）不扣分。</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669EF1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1、招标代理机构接到委托通知后，在3小时工作时间内，需面见对接到招标(采购)人，高效沟通协调并获取全部采购信息资料；在面见对接后8小时工作时间内，高效率高质量完成经招标人(采购人)经办人审核同意的采购文件初稿，再报经集团经办人审核同意后，出具最终定稿的采购文件报集团经办人上传系统审批。如未在要求的时限内完成，每出现一次扣2分。</w:t>
            </w:r>
          </w:p>
          <w:p w14:paraId="63E5DC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此项6分，扣完为止。</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6FF984A5">
            <w:pPr>
              <w:kinsoku/>
              <w:autoSpaceDE/>
              <w:autoSpaceDN/>
              <w:adjustRightInd/>
              <w:snapToGrid/>
              <w:spacing w:line="360" w:lineRule="auto"/>
              <w:rPr>
                <w:rFonts w:hint="eastAsia" w:ascii="宋体" w:hAnsi="宋体" w:eastAsia="宋体" w:cs="宋体"/>
                <w:bCs/>
                <w:sz w:val="24"/>
                <w:szCs w:val="24"/>
                <w:lang w:eastAsia="zh-CN"/>
              </w:rPr>
            </w:pPr>
          </w:p>
        </w:tc>
      </w:tr>
      <w:tr w14:paraId="5989C7BE">
        <w:tblPrEx>
          <w:tblCellMar>
            <w:top w:w="15" w:type="dxa"/>
            <w:left w:w="15" w:type="dxa"/>
            <w:bottom w:w="15" w:type="dxa"/>
            <w:right w:w="15" w:type="dxa"/>
          </w:tblCellMar>
        </w:tblPrEx>
        <w:trPr>
          <w:trHeight w:val="2378" w:hRule="atLeast"/>
          <w:jc w:val="center"/>
        </w:trPr>
        <w:tc>
          <w:tcPr>
            <w:tcW w:w="692" w:type="dxa"/>
            <w:vMerge w:val="continue"/>
            <w:tcBorders>
              <w:top w:val="single" w:color="auto" w:sz="4" w:space="0"/>
              <w:left w:val="single" w:color="auto" w:sz="4" w:space="0"/>
              <w:bottom w:val="single" w:color="auto" w:sz="4" w:space="0"/>
              <w:right w:val="single" w:color="auto" w:sz="4" w:space="0"/>
            </w:tcBorders>
            <w:noWrap w:val="0"/>
            <w:vAlign w:val="center"/>
          </w:tcPr>
          <w:p w14:paraId="7FC443AB">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bCs/>
                <w:sz w:val="24"/>
                <w:szCs w:val="24"/>
                <w:lang w:eastAsia="zh-CN"/>
              </w:rPr>
            </w:pPr>
          </w:p>
        </w:tc>
        <w:tc>
          <w:tcPr>
            <w:tcW w:w="1385" w:type="dxa"/>
            <w:vMerge w:val="continue"/>
            <w:tcBorders>
              <w:top w:val="single" w:color="auto" w:sz="4" w:space="0"/>
              <w:left w:val="single" w:color="auto" w:sz="4" w:space="0"/>
              <w:bottom w:val="single" w:color="auto" w:sz="4" w:space="0"/>
              <w:right w:val="single" w:color="auto" w:sz="4" w:space="0"/>
            </w:tcBorders>
            <w:noWrap w:val="0"/>
            <w:vAlign w:val="center"/>
          </w:tcPr>
          <w:p w14:paraId="6C684115">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bCs/>
                <w:sz w:val="24"/>
                <w:szCs w:val="24"/>
                <w:lang w:eastAsia="zh-CN"/>
              </w:rPr>
            </w:pPr>
          </w:p>
        </w:tc>
        <w:tc>
          <w:tcPr>
            <w:tcW w:w="6927" w:type="dxa"/>
            <w:tcBorders>
              <w:top w:val="single" w:color="auto" w:sz="4" w:space="0"/>
              <w:left w:val="single" w:color="auto" w:sz="4" w:space="0"/>
              <w:bottom w:val="single" w:color="auto" w:sz="4" w:space="0"/>
              <w:right w:val="single" w:color="auto" w:sz="4" w:space="0"/>
            </w:tcBorders>
            <w:noWrap w:val="0"/>
            <w:vAlign w:val="center"/>
          </w:tcPr>
          <w:p w14:paraId="4D366B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Cs/>
                <w:sz w:val="24"/>
                <w:szCs w:val="24"/>
              </w:rPr>
            </w:pPr>
            <w:r>
              <w:rPr>
                <w:rFonts w:hint="eastAsia" w:ascii="宋体" w:hAnsi="宋体" w:eastAsia="宋体" w:cs="宋体"/>
                <w:bCs/>
                <w:sz w:val="24"/>
                <w:szCs w:val="24"/>
                <w:lang w:eastAsia="zh-CN"/>
              </w:rPr>
              <w:t>2、采购文件需符合相关法律法规及公司制度要求；采购文件需基本格式规范，目录章节齐全，采购程序严谨，各环节时间安排明确；采购文件内容需全面系统，前后对应，上下一致；采购文件无错别字，无病句，用专业术语。在采购文件上传系统审批过程中，每出现一处被修改（含增加或删除）扣2分。</w:t>
            </w:r>
            <w:r>
              <w:rPr>
                <w:rFonts w:hint="eastAsia" w:ascii="宋体" w:hAnsi="宋体" w:eastAsia="宋体" w:cs="宋体"/>
                <w:bCs/>
                <w:sz w:val="24"/>
                <w:szCs w:val="24"/>
              </w:rPr>
              <w:t>此项10分，扣完为止。</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600E8A6A">
            <w:pPr>
              <w:kinsoku/>
              <w:autoSpaceDE/>
              <w:autoSpaceDN/>
              <w:adjustRightInd/>
              <w:snapToGrid/>
              <w:spacing w:line="360" w:lineRule="auto"/>
              <w:rPr>
                <w:rFonts w:hint="eastAsia" w:ascii="宋体" w:hAnsi="宋体" w:eastAsia="宋体" w:cs="宋体"/>
                <w:bCs/>
                <w:sz w:val="24"/>
                <w:szCs w:val="24"/>
              </w:rPr>
            </w:pPr>
          </w:p>
        </w:tc>
      </w:tr>
      <w:tr w14:paraId="1D0CBC3E">
        <w:tblPrEx>
          <w:tblCellMar>
            <w:top w:w="15" w:type="dxa"/>
            <w:left w:w="15" w:type="dxa"/>
            <w:bottom w:w="15" w:type="dxa"/>
            <w:right w:w="15" w:type="dxa"/>
          </w:tblCellMar>
        </w:tblPrEx>
        <w:trPr>
          <w:trHeight w:val="3312" w:hRule="atLeast"/>
          <w:jc w:val="center"/>
        </w:trPr>
        <w:tc>
          <w:tcPr>
            <w:tcW w:w="692" w:type="dxa"/>
            <w:vMerge w:val="continue"/>
            <w:tcBorders>
              <w:top w:val="single" w:color="auto" w:sz="4" w:space="0"/>
              <w:left w:val="single" w:color="auto" w:sz="4" w:space="0"/>
              <w:bottom w:val="single" w:color="auto" w:sz="4" w:space="0"/>
              <w:right w:val="single" w:color="auto" w:sz="4" w:space="0"/>
            </w:tcBorders>
            <w:noWrap w:val="0"/>
            <w:vAlign w:val="center"/>
          </w:tcPr>
          <w:p w14:paraId="17F6B363">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bCs/>
                <w:sz w:val="24"/>
                <w:szCs w:val="24"/>
              </w:rPr>
            </w:pPr>
          </w:p>
        </w:tc>
        <w:tc>
          <w:tcPr>
            <w:tcW w:w="1385" w:type="dxa"/>
            <w:vMerge w:val="continue"/>
            <w:tcBorders>
              <w:top w:val="single" w:color="auto" w:sz="4" w:space="0"/>
              <w:left w:val="single" w:color="auto" w:sz="4" w:space="0"/>
              <w:bottom w:val="single" w:color="auto" w:sz="4" w:space="0"/>
              <w:right w:val="single" w:color="auto" w:sz="4" w:space="0"/>
            </w:tcBorders>
            <w:noWrap w:val="0"/>
            <w:vAlign w:val="center"/>
          </w:tcPr>
          <w:p w14:paraId="4C37323A">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bCs/>
                <w:sz w:val="24"/>
                <w:szCs w:val="24"/>
              </w:rPr>
            </w:pPr>
          </w:p>
        </w:tc>
        <w:tc>
          <w:tcPr>
            <w:tcW w:w="6927" w:type="dxa"/>
            <w:tcBorders>
              <w:top w:val="single" w:color="auto" w:sz="4" w:space="0"/>
              <w:left w:val="single" w:color="auto" w:sz="4" w:space="0"/>
              <w:bottom w:val="single" w:color="auto" w:sz="4" w:space="0"/>
              <w:right w:val="single" w:color="auto" w:sz="4" w:space="0"/>
            </w:tcBorders>
            <w:noWrap w:val="0"/>
            <w:vAlign w:val="center"/>
          </w:tcPr>
          <w:p w14:paraId="49D5A0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Cs/>
                <w:sz w:val="24"/>
                <w:szCs w:val="24"/>
              </w:rPr>
            </w:pPr>
            <w:r>
              <w:rPr>
                <w:rFonts w:hint="eastAsia" w:ascii="宋体" w:hAnsi="宋体" w:eastAsia="宋体" w:cs="宋体"/>
                <w:bCs/>
                <w:sz w:val="24"/>
                <w:szCs w:val="24"/>
                <w:lang w:eastAsia="zh-CN"/>
              </w:rPr>
              <w:t>3、采购文件所描述采购项目的基本信息，包括投标人（供应商）资质资格要求，投标和履约保证金缴纳要求，投标人（供应商）投标（响应性）文件要求，项目标的预算或清单的规格、型号、技术要求、质量标准、质保时间、控制价、范围数量以及付款方式、合同等信息描述需全面准确、具体详细，无漏项、无缺项、无错误，需完全符合招标(采购)人要求。在采购文件上传系统审批过程中，每出现一处被修改（含增加或删除）扣2分。</w:t>
            </w:r>
            <w:r>
              <w:rPr>
                <w:rFonts w:hint="eastAsia" w:ascii="宋体" w:hAnsi="宋体" w:eastAsia="宋体" w:cs="宋体"/>
                <w:bCs/>
                <w:sz w:val="24"/>
                <w:szCs w:val="24"/>
              </w:rPr>
              <w:t>此项10分，扣完为止。</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0656C885">
            <w:pPr>
              <w:kinsoku/>
              <w:autoSpaceDE/>
              <w:autoSpaceDN/>
              <w:adjustRightInd/>
              <w:snapToGrid/>
              <w:spacing w:line="360" w:lineRule="auto"/>
              <w:rPr>
                <w:rFonts w:hint="eastAsia" w:ascii="宋体" w:hAnsi="宋体" w:eastAsia="宋体" w:cs="宋体"/>
                <w:bCs/>
                <w:sz w:val="24"/>
                <w:szCs w:val="24"/>
              </w:rPr>
            </w:pPr>
          </w:p>
        </w:tc>
      </w:tr>
      <w:tr w14:paraId="595AC69F">
        <w:tblPrEx>
          <w:tblCellMar>
            <w:top w:w="15" w:type="dxa"/>
            <w:left w:w="15" w:type="dxa"/>
            <w:bottom w:w="15" w:type="dxa"/>
            <w:right w:w="15" w:type="dxa"/>
          </w:tblCellMar>
        </w:tblPrEx>
        <w:trPr>
          <w:trHeight w:val="1910" w:hRule="atLeast"/>
          <w:jc w:val="center"/>
        </w:trPr>
        <w:tc>
          <w:tcPr>
            <w:tcW w:w="692" w:type="dxa"/>
            <w:vMerge w:val="continue"/>
            <w:tcBorders>
              <w:top w:val="single" w:color="auto" w:sz="4" w:space="0"/>
              <w:left w:val="single" w:color="auto" w:sz="4" w:space="0"/>
              <w:bottom w:val="single" w:color="auto" w:sz="4" w:space="0"/>
              <w:right w:val="single" w:color="auto" w:sz="4" w:space="0"/>
            </w:tcBorders>
            <w:noWrap w:val="0"/>
            <w:vAlign w:val="center"/>
          </w:tcPr>
          <w:p w14:paraId="05156588">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bCs/>
                <w:sz w:val="24"/>
                <w:szCs w:val="24"/>
              </w:rPr>
            </w:pPr>
          </w:p>
        </w:tc>
        <w:tc>
          <w:tcPr>
            <w:tcW w:w="1385" w:type="dxa"/>
            <w:vMerge w:val="continue"/>
            <w:tcBorders>
              <w:top w:val="single" w:color="auto" w:sz="4" w:space="0"/>
              <w:left w:val="single" w:color="auto" w:sz="4" w:space="0"/>
              <w:bottom w:val="single" w:color="auto" w:sz="4" w:space="0"/>
              <w:right w:val="single" w:color="auto" w:sz="4" w:space="0"/>
            </w:tcBorders>
            <w:noWrap w:val="0"/>
            <w:vAlign w:val="center"/>
          </w:tcPr>
          <w:p w14:paraId="461AF26B">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bCs/>
                <w:sz w:val="24"/>
                <w:szCs w:val="24"/>
              </w:rPr>
            </w:pPr>
          </w:p>
        </w:tc>
        <w:tc>
          <w:tcPr>
            <w:tcW w:w="6927" w:type="dxa"/>
            <w:tcBorders>
              <w:top w:val="single" w:color="auto" w:sz="4" w:space="0"/>
              <w:left w:val="single" w:color="auto" w:sz="4" w:space="0"/>
              <w:bottom w:val="single" w:color="auto" w:sz="4" w:space="0"/>
              <w:right w:val="single" w:color="auto" w:sz="4" w:space="0"/>
            </w:tcBorders>
            <w:noWrap w:val="0"/>
            <w:vAlign w:val="center"/>
          </w:tcPr>
          <w:p w14:paraId="22D5BB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Cs/>
                <w:sz w:val="24"/>
                <w:szCs w:val="24"/>
              </w:rPr>
            </w:pPr>
            <w:r>
              <w:rPr>
                <w:rFonts w:hint="eastAsia" w:ascii="宋体" w:hAnsi="宋体" w:eastAsia="宋体" w:cs="宋体"/>
                <w:bCs/>
                <w:sz w:val="24"/>
                <w:szCs w:val="24"/>
                <w:lang w:eastAsia="zh-CN"/>
              </w:rPr>
              <w:t>4、采购文件所描述采购项目的付款方式需在不违背相关法律法规和公司制度的基础上，满足招标(采购)人的具体要求。在采购文件上传系统审批过程中，每出现一处被修改（含增加或删除）扣2分。</w:t>
            </w:r>
            <w:r>
              <w:rPr>
                <w:rFonts w:hint="eastAsia" w:ascii="宋体" w:hAnsi="宋体" w:eastAsia="宋体" w:cs="宋体"/>
                <w:bCs/>
                <w:sz w:val="24"/>
                <w:szCs w:val="24"/>
              </w:rPr>
              <w:t>此项10分，扣完为止。</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453A817C">
            <w:pPr>
              <w:kinsoku/>
              <w:autoSpaceDE/>
              <w:autoSpaceDN/>
              <w:adjustRightInd/>
              <w:snapToGrid/>
              <w:spacing w:line="360" w:lineRule="auto"/>
              <w:rPr>
                <w:rFonts w:hint="eastAsia" w:ascii="宋体" w:hAnsi="宋体" w:eastAsia="宋体" w:cs="宋体"/>
                <w:bCs/>
                <w:sz w:val="24"/>
                <w:szCs w:val="24"/>
              </w:rPr>
            </w:pPr>
          </w:p>
        </w:tc>
      </w:tr>
      <w:tr w14:paraId="53C10129">
        <w:tblPrEx>
          <w:tblCellMar>
            <w:top w:w="15" w:type="dxa"/>
            <w:left w:w="15" w:type="dxa"/>
            <w:bottom w:w="15" w:type="dxa"/>
            <w:right w:w="15" w:type="dxa"/>
          </w:tblCellMar>
        </w:tblPrEx>
        <w:trPr>
          <w:trHeight w:val="3780" w:hRule="atLeast"/>
          <w:jc w:val="center"/>
        </w:trPr>
        <w:tc>
          <w:tcPr>
            <w:tcW w:w="692" w:type="dxa"/>
            <w:vMerge w:val="continue"/>
            <w:tcBorders>
              <w:top w:val="single" w:color="auto" w:sz="4" w:space="0"/>
              <w:left w:val="single" w:color="auto" w:sz="4" w:space="0"/>
              <w:bottom w:val="single" w:color="auto" w:sz="4" w:space="0"/>
              <w:right w:val="single" w:color="auto" w:sz="4" w:space="0"/>
            </w:tcBorders>
            <w:noWrap w:val="0"/>
            <w:vAlign w:val="center"/>
          </w:tcPr>
          <w:p w14:paraId="3D1DE414">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bCs/>
                <w:sz w:val="24"/>
                <w:szCs w:val="24"/>
              </w:rPr>
            </w:pPr>
          </w:p>
        </w:tc>
        <w:tc>
          <w:tcPr>
            <w:tcW w:w="1385" w:type="dxa"/>
            <w:vMerge w:val="continue"/>
            <w:tcBorders>
              <w:top w:val="single" w:color="auto" w:sz="4" w:space="0"/>
              <w:left w:val="single" w:color="auto" w:sz="4" w:space="0"/>
              <w:bottom w:val="single" w:color="auto" w:sz="4" w:space="0"/>
              <w:right w:val="single" w:color="auto" w:sz="4" w:space="0"/>
            </w:tcBorders>
            <w:noWrap w:val="0"/>
            <w:vAlign w:val="center"/>
          </w:tcPr>
          <w:p w14:paraId="2D8041F0">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bCs/>
                <w:sz w:val="24"/>
                <w:szCs w:val="24"/>
              </w:rPr>
            </w:pPr>
          </w:p>
        </w:tc>
        <w:tc>
          <w:tcPr>
            <w:tcW w:w="6927" w:type="dxa"/>
            <w:tcBorders>
              <w:top w:val="single" w:color="auto" w:sz="4" w:space="0"/>
              <w:left w:val="single" w:color="auto" w:sz="4" w:space="0"/>
              <w:bottom w:val="single" w:color="auto" w:sz="4" w:space="0"/>
              <w:right w:val="single" w:color="auto" w:sz="4" w:space="0"/>
            </w:tcBorders>
            <w:noWrap w:val="0"/>
            <w:vAlign w:val="center"/>
          </w:tcPr>
          <w:p w14:paraId="3C7081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Cs/>
                <w:sz w:val="24"/>
                <w:szCs w:val="24"/>
              </w:rPr>
            </w:pPr>
            <w:r>
              <w:rPr>
                <w:rFonts w:hint="eastAsia" w:ascii="宋体" w:hAnsi="宋体" w:eastAsia="宋体" w:cs="宋体"/>
                <w:bCs/>
                <w:sz w:val="24"/>
                <w:szCs w:val="24"/>
                <w:lang w:eastAsia="zh-CN"/>
              </w:rPr>
              <w:t>5、招标（采购）文件评标（评审）办法需设置合理的评审因素、评审标准、评分标准，评分标准要充分考虑投标人（供应商）的资格资质、业绩、信誉、技术方案、产品性能和指标、价格和成本、质保和服务、合理化建议、优惠条件等因素，确保评分标准各项指标的权重、分值合理，确保评分标准具有针对性、可量化、操作性强，确保评分标准能够全面反映投标人（供应商）的综合实力和招标（采购）要求。在采购文件上传系统审批过程中，每出现一处被修改（含增加或删除）扣2分。</w:t>
            </w:r>
            <w:r>
              <w:rPr>
                <w:rFonts w:hint="eastAsia" w:ascii="宋体" w:hAnsi="宋体" w:eastAsia="宋体" w:cs="宋体"/>
                <w:bCs/>
                <w:sz w:val="24"/>
                <w:szCs w:val="24"/>
              </w:rPr>
              <w:t>此项14分，扣完为止。</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04E47805">
            <w:pPr>
              <w:kinsoku/>
              <w:autoSpaceDE/>
              <w:autoSpaceDN/>
              <w:adjustRightInd/>
              <w:snapToGrid/>
              <w:spacing w:line="360" w:lineRule="auto"/>
              <w:rPr>
                <w:rFonts w:hint="eastAsia" w:ascii="宋体" w:hAnsi="宋体" w:eastAsia="宋体" w:cs="宋体"/>
                <w:bCs/>
                <w:sz w:val="24"/>
                <w:szCs w:val="24"/>
              </w:rPr>
            </w:pPr>
          </w:p>
        </w:tc>
      </w:tr>
      <w:tr w14:paraId="2E44BE01">
        <w:tblPrEx>
          <w:tblCellMar>
            <w:top w:w="15" w:type="dxa"/>
            <w:left w:w="15" w:type="dxa"/>
            <w:bottom w:w="15" w:type="dxa"/>
            <w:right w:w="15" w:type="dxa"/>
          </w:tblCellMar>
        </w:tblPrEx>
        <w:trPr>
          <w:trHeight w:val="1443" w:hRule="atLeast"/>
          <w:jc w:val="center"/>
        </w:trPr>
        <w:tc>
          <w:tcPr>
            <w:tcW w:w="692" w:type="dxa"/>
            <w:vMerge w:val="restart"/>
            <w:tcBorders>
              <w:top w:val="single" w:color="auto" w:sz="4" w:space="0"/>
              <w:left w:val="single" w:color="auto" w:sz="4" w:space="0"/>
              <w:bottom w:val="single" w:color="auto" w:sz="4" w:space="0"/>
              <w:right w:val="single" w:color="auto" w:sz="4" w:space="0"/>
            </w:tcBorders>
            <w:noWrap w:val="0"/>
            <w:vAlign w:val="center"/>
          </w:tcPr>
          <w:p w14:paraId="03D88E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1385" w:type="dxa"/>
            <w:vMerge w:val="restart"/>
            <w:tcBorders>
              <w:top w:val="single" w:color="auto" w:sz="4" w:space="0"/>
              <w:left w:val="single" w:color="auto" w:sz="4" w:space="0"/>
              <w:bottom w:val="single" w:color="auto" w:sz="4" w:space="0"/>
              <w:right w:val="single" w:color="auto" w:sz="4" w:space="0"/>
            </w:tcBorders>
            <w:noWrap w:val="0"/>
            <w:vAlign w:val="center"/>
          </w:tcPr>
          <w:p w14:paraId="0EA26B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人员配备与组织协调（10分）</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31E382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Cs/>
                <w:sz w:val="24"/>
                <w:szCs w:val="24"/>
              </w:rPr>
            </w:pPr>
            <w:r>
              <w:rPr>
                <w:rFonts w:hint="eastAsia" w:ascii="宋体" w:hAnsi="宋体" w:eastAsia="宋体" w:cs="宋体"/>
                <w:bCs/>
                <w:sz w:val="24"/>
                <w:szCs w:val="24"/>
                <w:lang w:eastAsia="zh-CN"/>
              </w:rPr>
              <w:t>1、对所代理采购项目应明确指定专职项目负责人；并配备得力充足的工作人员；提供项目班子人员配备表。每出现有一项不合格的，扣1分。</w:t>
            </w:r>
            <w:r>
              <w:rPr>
                <w:rFonts w:hint="eastAsia" w:ascii="宋体" w:hAnsi="宋体" w:eastAsia="宋体" w:cs="宋体"/>
                <w:bCs/>
                <w:sz w:val="24"/>
                <w:szCs w:val="24"/>
              </w:rPr>
              <w:t>此项3分，扣完为止。</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2B94FF43">
            <w:pPr>
              <w:kinsoku/>
              <w:autoSpaceDE/>
              <w:autoSpaceDN/>
              <w:adjustRightInd/>
              <w:snapToGrid/>
              <w:spacing w:line="360" w:lineRule="auto"/>
              <w:rPr>
                <w:rFonts w:hint="eastAsia" w:ascii="宋体" w:hAnsi="宋体" w:eastAsia="宋体" w:cs="宋体"/>
                <w:bCs/>
                <w:sz w:val="24"/>
                <w:szCs w:val="24"/>
              </w:rPr>
            </w:pPr>
          </w:p>
        </w:tc>
      </w:tr>
      <w:tr w14:paraId="042CAFF4">
        <w:tblPrEx>
          <w:tblCellMar>
            <w:top w:w="15" w:type="dxa"/>
            <w:left w:w="15" w:type="dxa"/>
            <w:bottom w:w="15" w:type="dxa"/>
            <w:right w:w="15" w:type="dxa"/>
          </w:tblCellMar>
        </w:tblPrEx>
        <w:trPr>
          <w:trHeight w:val="1443" w:hRule="atLeast"/>
          <w:jc w:val="center"/>
        </w:trPr>
        <w:tc>
          <w:tcPr>
            <w:tcW w:w="692" w:type="dxa"/>
            <w:vMerge w:val="continue"/>
            <w:tcBorders>
              <w:top w:val="single" w:color="auto" w:sz="4" w:space="0"/>
              <w:left w:val="single" w:color="auto" w:sz="4" w:space="0"/>
              <w:bottom w:val="single" w:color="auto" w:sz="4" w:space="0"/>
              <w:right w:val="single" w:color="auto" w:sz="4" w:space="0"/>
            </w:tcBorders>
            <w:noWrap w:val="0"/>
            <w:vAlign w:val="center"/>
          </w:tcPr>
          <w:p w14:paraId="5B8A99D2">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bCs/>
                <w:sz w:val="24"/>
                <w:szCs w:val="24"/>
              </w:rPr>
            </w:pPr>
          </w:p>
        </w:tc>
        <w:tc>
          <w:tcPr>
            <w:tcW w:w="1385" w:type="dxa"/>
            <w:vMerge w:val="continue"/>
            <w:tcBorders>
              <w:top w:val="single" w:color="auto" w:sz="4" w:space="0"/>
              <w:left w:val="single" w:color="auto" w:sz="4" w:space="0"/>
              <w:bottom w:val="single" w:color="auto" w:sz="4" w:space="0"/>
              <w:right w:val="single" w:color="auto" w:sz="4" w:space="0"/>
            </w:tcBorders>
            <w:noWrap w:val="0"/>
            <w:vAlign w:val="center"/>
          </w:tcPr>
          <w:p w14:paraId="12B26DFF">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bCs/>
                <w:sz w:val="24"/>
                <w:szCs w:val="24"/>
              </w:rPr>
            </w:pPr>
          </w:p>
        </w:tc>
        <w:tc>
          <w:tcPr>
            <w:tcW w:w="6927" w:type="dxa"/>
            <w:tcBorders>
              <w:top w:val="single" w:color="auto" w:sz="4" w:space="0"/>
              <w:left w:val="single" w:color="auto" w:sz="4" w:space="0"/>
              <w:bottom w:val="single" w:color="auto" w:sz="4" w:space="0"/>
              <w:right w:val="single" w:color="auto" w:sz="4" w:space="0"/>
            </w:tcBorders>
            <w:noWrap w:val="0"/>
            <w:vAlign w:val="center"/>
          </w:tcPr>
          <w:p w14:paraId="28DD42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Cs/>
                <w:sz w:val="24"/>
                <w:szCs w:val="24"/>
              </w:rPr>
            </w:pPr>
            <w:r>
              <w:rPr>
                <w:rFonts w:hint="eastAsia" w:ascii="宋体" w:hAnsi="宋体" w:eastAsia="宋体" w:cs="宋体"/>
                <w:bCs/>
                <w:sz w:val="24"/>
                <w:szCs w:val="24"/>
                <w:lang w:eastAsia="zh-CN"/>
              </w:rPr>
              <w:t>2、项目负责人应盯靠项目，担当尽责；工作人员应业务强水平高，分工明确；项目班子应准备工作充分，协调畅通高效。每出现有一项不合格的，扣1分。</w:t>
            </w:r>
            <w:r>
              <w:rPr>
                <w:rFonts w:hint="eastAsia" w:ascii="宋体" w:hAnsi="宋体" w:eastAsia="宋体" w:cs="宋体"/>
                <w:bCs/>
                <w:sz w:val="24"/>
                <w:szCs w:val="24"/>
              </w:rPr>
              <w:t>此项3分，扣完为止。</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18E55C63">
            <w:pPr>
              <w:kinsoku/>
              <w:autoSpaceDE/>
              <w:autoSpaceDN/>
              <w:adjustRightInd/>
              <w:snapToGrid/>
              <w:spacing w:line="360" w:lineRule="auto"/>
              <w:rPr>
                <w:rFonts w:hint="eastAsia" w:ascii="宋体" w:hAnsi="宋体" w:eastAsia="宋体" w:cs="宋体"/>
                <w:bCs/>
                <w:sz w:val="24"/>
                <w:szCs w:val="24"/>
              </w:rPr>
            </w:pPr>
          </w:p>
        </w:tc>
      </w:tr>
      <w:tr w14:paraId="0118673B">
        <w:tblPrEx>
          <w:tblCellMar>
            <w:top w:w="15" w:type="dxa"/>
            <w:left w:w="15" w:type="dxa"/>
            <w:bottom w:w="15" w:type="dxa"/>
            <w:right w:w="15" w:type="dxa"/>
          </w:tblCellMar>
        </w:tblPrEx>
        <w:trPr>
          <w:trHeight w:val="1443" w:hRule="atLeast"/>
          <w:jc w:val="center"/>
        </w:trPr>
        <w:tc>
          <w:tcPr>
            <w:tcW w:w="692" w:type="dxa"/>
            <w:vMerge w:val="continue"/>
            <w:tcBorders>
              <w:top w:val="single" w:color="auto" w:sz="4" w:space="0"/>
              <w:left w:val="single" w:color="auto" w:sz="4" w:space="0"/>
              <w:bottom w:val="single" w:color="auto" w:sz="4" w:space="0"/>
              <w:right w:val="single" w:color="auto" w:sz="4" w:space="0"/>
            </w:tcBorders>
            <w:noWrap w:val="0"/>
            <w:vAlign w:val="center"/>
          </w:tcPr>
          <w:p w14:paraId="55294D54">
            <w:pPr>
              <w:kinsoku/>
              <w:autoSpaceDE/>
              <w:autoSpaceDN/>
              <w:adjustRightInd/>
              <w:snapToGrid/>
              <w:spacing w:line="360" w:lineRule="auto"/>
              <w:rPr>
                <w:rFonts w:hint="eastAsia" w:ascii="宋体" w:hAnsi="宋体" w:eastAsia="宋体" w:cs="宋体"/>
                <w:bCs/>
                <w:sz w:val="24"/>
                <w:szCs w:val="24"/>
              </w:rPr>
            </w:pPr>
          </w:p>
        </w:tc>
        <w:tc>
          <w:tcPr>
            <w:tcW w:w="1385" w:type="dxa"/>
            <w:vMerge w:val="continue"/>
            <w:tcBorders>
              <w:top w:val="single" w:color="auto" w:sz="4" w:space="0"/>
              <w:left w:val="single" w:color="auto" w:sz="4" w:space="0"/>
              <w:bottom w:val="single" w:color="auto" w:sz="4" w:space="0"/>
              <w:right w:val="single" w:color="auto" w:sz="4" w:space="0"/>
            </w:tcBorders>
            <w:noWrap w:val="0"/>
            <w:vAlign w:val="center"/>
          </w:tcPr>
          <w:p w14:paraId="19E02532">
            <w:pPr>
              <w:kinsoku/>
              <w:autoSpaceDE/>
              <w:autoSpaceDN/>
              <w:adjustRightInd/>
              <w:snapToGrid/>
              <w:spacing w:line="360" w:lineRule="auto"/>
              <w:rPr>
                <w:rFonts w:hint="eastAsia" w:ascii="宋体" w:hAnsi="宋体" w:eastAsia="宋体" w:cs="宋体"/>
                <w:bCs/>
                <w:sz w:val="24"/>
                <w:szCs w:val="24"/>
              </w:rPr>
            </w:pPr>
          </w:p>
        </w:tc>
        <w:tc>
          <w:tcPr>
            <w:tcW w:w="6927" w:type="dxa"/>
            <w:tcBorders>
              <w:top w:val="single" w:color="auto" w:sz="4" w:space="0"/>
              <w:left w:val="single" w:color="auto" w:sz="4" w:space="0"/>
              <w:bottom w:val="single" w:color="auto" w:sz="4" w:space="0"/>
              <w:right w:val="single" w:color="auto" w:sz="4" w:space="0"/>
            </w:tcBorders>
            <w:noWrap w:val="0"/>
            <w:vAlign w:val="center"/>
          </w:tcPr>
          <w:p w14:paraId="080EA4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Cs/>
                <w:sz w:val="24"/>
                <w:szCs w:val="24"/>
              </w:rPr>
            </w:pPr>
            <w:r>
              <w:rPr>
                <w:rFonts w:hint="eastAsia" w:ascii="宋体" w:hAnsi="宋体" w:eastAsia="宋体" w:cs="宋体"/>
                <w:bCs/>
                <w:sz w:val="24"/>
                <w:szCs w:val="24"/>
                <w:lang w:eastAsia="zh-CN"/>
              </w:rPr>
              <w:t>3、项目班子应充分了解招标（采购）人需求，按时限要求，一次性无误获取编制采购文件需由招标（采购）人提供的全部信息资料。每出现一处有误的，扣1分。</w:t>
            </w:r>
            <w:r>
              <w:rPr>
                <w:rFonts w:hint="eastAsia" w:ascii="宋体" w:hAnsi="宋体" w:eastAsia="宋体" w:cs="宋体"/>
                <w:bCs/>
                <w:sz w:val="24"/>
                <w:szCs w:val="24"/>
              </w:rPr>
              <w:t>此项4分，扣完为止。</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4C081DE5">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bCs/>
                <w:sz w:val="24"/>
                <w:szCs w:val="24"/>
              </w:rPr>
            </w:pPr>
          </w:p>
        </w:tc>
      </w:tr>
      <w:tr w14:paraId="24E1F4BF">
        <w:tblPrEx>
          <w:tblCellMar>
            <w:top w:w="15" w:type="dxa"/>
            <w:left w:w="15" w:type="dxa"/>
            <w:bottom w:w="15" w:type="dxa"/>
            <w:right w:w="15" w:type="dxa"/>
          </w:tblCellMar>
        </w:tblPrEx>
        <w:trPr>
          <w:trHeight w:val="508" w:hRule="atLeast"/>
          <w:jc w:val="center"/>
        </w:trPr>
        <w:tc>
          <w:tcPr>
            <w:tcW w:w="692" w:type="dxa"/>
            <w:vMerge w:val="restart"/>
            <w:tcBorders>
              <w:top w:val="single" w:color="auto" w:sz="4" w:space="0"/>
              <w:left w:val="single" w:color="auto" w:sz="4" w:space="0"/>
              <w:bottom w:val="single" w:color="auto" w:sz="4" w:space="0"/>
              <w:right w:val="single" w:color="auto" w:sz="4" w:space="0"/>
            </w:tcBorders>
            <w:noWrap w:val="0"/>
            <w:vAlign w:val="center"/>
          </w:tcPr>
          <w:p w14:paraId="75BBC89C">
            <w:pPr>
              <w:kinsoku/>
              <w:autoSpaceDE/>
              <w:autoSpaceDN/>
              <w:adjustRightInd/>
              <w:snapToGrid/>
              <w:spacing w:line="360" w:lineRule="auto"/>
              <w:jc w:val="center"/>
              <w:textAlignment w:val="center"/>
              <w:rPr>
                <w:rFonts w:hint="eastAsia" w:ascii="宋体" w:hAnsi="宋体" w:eastAsia="宋体" w:cs="宋体"/>
                <w:bCs/>
                <w:sz w:val="24"/>
                <w:szCs w:val="24"/>
              </w:rPr>
            </w:pPr>
            <w:r>
              <w:rPr>
                <w:rFonts w:hint="eastAsia" w:ascii="宋体" w:hAnsi="宋体" w:eastAsia="宋体" w:cs="宋体"/>
                <w:bCs/>
                <w:sz w:val="24"/>
                <w:szCs w:val="24"/>
              </w:rPr>
              <w:t>3</w:t>
            </w:r>
          </w:p>
        </w:tc>
        <w:tc>
          <w:tcPr>
            <w:tcW w:w="1385" w:type="dxa"/>
            <w:vMerge w:val="restart"/>
            <w:tcBorders>
              <w:top w:val="single" w:color="auto" w:sz="4" w:space="0"/>
              <w:left w:val="single" w:color="auto" w:sz="4" w:space="0"/>
              <w:bottom w:val="single" w:color="auto" w:sz="4" w:space="0"/>
              <w:right w:val="single" w:color="auto" w:sz="4" w:space="0"/>
            </w:tcBorders>
            <w:noWrap w:val="0"/>
            <w:vAlign w:val="center"/>
          </w:tcPr>
          <w:p w14:paraId="2299E90E">
            <w:pPr>
              <w:kinsoku/>
              <w:autoSpaceDE/>
              <w:autoSpaceDN/>
              <w:adjustRightInd/>
              <w:snapToGrid/>
              <w:spacing w:line="360" w:lineRule="auto"/>
              <w:jc w:val="center"/>
              <w:textAlignment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采购活动开展情况（25分）</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41AE06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1、采购公告、采购邀请函、采购文件发布、专家抽取、开标评标、评标报告、中标（成交）通知书发放程序应合法合规符合公司制度，内容正确齐全，记录完整；能够按时限要求全面完成各环节工作。每出现一处未完成事项的，扣2分。此项6分，扣完为止。</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6ECF02FE">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bCs/>
                <w:sz w:val="24"/>
                <w:szCs w:val="24"/>
                <w:lang w:eastAsia="zh-CN"/>
              </w:rPr>
            </w:pPr>
          </w:p>
        </w:tc>
      </w:tr>
      <w:tr w14:paraId="5171D8B7">
        <w:tblPrEx>
          <w:tblCellMar>
            <w:top w:w="15" w:type="dxa"/>
            <w:left w:w="15" w:type="dxa"/>
            <w:bottom w:w="15" w:type="dxa"/>
            <w:right w:w="15" w:type="dxa"/>
          </w:tblCellMar>
        </w:tblPrEx>
        <w:trPr>
          <w:trHeight w:val="1443" w:hRule="atLeast"/>
          <w:jc w:val="center"/>
        </w:trPr>
        <w:tc>
          <w:tcPr>
            <w:tcW w:w="692" w:type="dxa"/>
            <w:vMerge w:val="continue"/>
            <w:tcBorders>
              <w:top w:val="single" w:color="auto" w:sz="4" w:space="0"/>
              <w:left w:val="single" w:color="auto" w:sz="4" w:space="0"/>
              <w:bottom w:val="single" w:color="auto" w:sz="4" w:space="0"/>
              <w:right w:val="single" w:color="auto" w:sz="4" w:space="0"/>
            </w:tcBorders>
            <w:noWrap w:val="0"/>
            <w:vAlign w:val="center"/>
          </w:tcPr>
          <w:p w14:paraId="58CFF5EF">
            <w:pPr>
              <w:kinsoku/>
              <w:autoSpaceDE/>
              <w:autoSpaceDN/>
              <w:adjustRightInd/>
              <w:snapToGrid/>
              <w:spacing w:line="360" w:lineRule="auto"/>
              <w:rPr>
                <w:rFonts w:hint="eastAsia" w:ascii="宋体" w:hAnsi="宋体" w:eastAsia="宋体" w:cs="宋体"/>
                <w:bCs/>
                <w:sz w:val="24"/>
                <w:szCs w:val="24"/>
                <w:lang w:eastAsia="zh-CN"/>
              </w:rPr>
            </w:pPr>
          </w:p>
        </w:tc>
        <w:tc>
          <w:tcPr>
            <w:tcW w:w="1385" w:type="dxa"/>
            <w:vMerge w:val="continue"/>
            <w:tcBorders>
              <w:top w:val="single" w:color="auto" w:sz="4" w:space="0"/>
              <w:left w:val="single" w:color="auto" w:sz="4" w:space="0"/>
              <w:bottom w:val="single" w:color="auto" w:sz="4" w:space="0"/>
              <w:right w:val="single" w:color="auto" w:sz="4" w:space="0"/>
            </w:tcBorders>
            <w:noWrap w:val="0"/>
            <w:vAlign w:val="center"/>
          </w:tcPr>
          <w:p w14:paraId="38CED77C">
            <w:pPr>
              <w:kinsoku/>
              <w:autoSpaceDE/>
              <w:autoSpaceDN/>
              <w:adjustRightInd/>
              <w:snapToGrid/>
              <w:spacing w:line="360" w:lineRule="auto"/>
              <w:rPr>
                <w:rFonts w:hint="eastAsia" w:ascii="宋体" w:hAnsi="宋体" w:eastAsia="宋体" w:cs="宋体"/>
                <w:bCs/>
                <w:sz w:val="24"/>
                <w:szCs w:val="24"/>
                <w:lang w:eastAsia="zh-CN"/>
              </w:rPr>
            </w:pPr>
          </w:p>
        </w:tc>
        <w:tc>
          <w:tcPr>
            <w:tcW w:w="6927" w:type="dxa"/>
            <w:tcBorders>
              <w:top w:val="single" w:color="auto" w:sz="4" w:space="0"/>
              <w:left w:val="single" w:color="auto" w:sz="4" w:space="0"/>
              <w:bottom w:val="single" w:color="auto" w:sz="4" w:space="0"/>
              <w:right w:val="single" w:color="auto" w:sz="4" w:space="0"/>
            </w:tcBorders>
            <w:noWrap w:val="0"/>
            <w:vAlign w:val="center"/>
          </w:tcPr>
          <w:p w14:paraId="495403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Cs/>
                <w:sz w:val="24"/>
                <w:szCs w:val="24"/>
              </w:rPr>
            </w:pPr>
            <w:r>
              <w:rPr>
                <w:rFonts w:hint="eastAsia" w:ascii="宋体" w:hAnsi="宋体" w:eastAsia="宋体" w:cs="宋体"/>
                <w:bCs/>
                <w:sz w:val="24"/>
                <w:szCs w:val="24"/>
                <w:lang w:eastAsia="zh-CN"/>
              </w:rPr>
              <w:t>2、应协助招标(采购)人、集团妥善处理收到的采购文件答疑、询问、质疑或投诉、澄清等。每出现一处事项未处理到位的，扣2分。</w:t>
            </w:r>
            <w:r>
              <w:rPr>
                <w:rFonts w:hint="eastAsia" w:ascii="宋体" w:hAnsi="宋体" w:eastAsia="宋体" w:cs="宋体"/>
                <w:bCs/>
                <w:sz w:val="24"/>
                <w:szCs w:val="24"/>
              </w:rPr>
              <w:t>此项4分，扣完为止。</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27F42C40">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bCs/>
                <w:sz w:val="24"/>
                <w:szCs w:val="24"/>
              </w:rPr>
            </w:pPr>
          </w:p>
        </w:tc>
      </w:tr>
      <w:tr w14:paraId="7E41FFEB">
        <w:tblPrEx>
          <w:tblCellMar>
            <w:top w:w="15" w:type="dxa"/>
            <w:left w:w="15" w:type="dxa"/>
            <w:bottom w:w="15" w:type="dxa"/>
            <w:right w:w="15" w:type="dxa"/>
          </w:tblCellMar>
        </w:tblPrEx>
        <w:trPr>
          <w:trHeight w:val="1443" w:hRule="atLeast"/>
          <w:jc w:val="center"/>
        </w:trPr>
        <w:tc>
          <w:tcPr>
            <w:tcW w:w="692" w:type="dxa"/>
            <w:vMerge w:val="continue"/>
            <w:tcBorders>
              <w:top w:val="single" w:color="auto" w:sz="4" w:space="0"/>
              <w:left w:val="single" w:color="auto" w:sz="4" w:space="0"/>
              <w:bottom w:val="single" w:color="auto" w:sz="4" w:space="0"/>
              <w:right w:val="single" w:color="auto" w:sz="4" w:space="0"/>
            </w:tcBorders>
            <w:noWrap w:val="0"/>
            <w:vAlign w:val="center"/>
          </w:tcPr>
          <w:p w14:paraId="51D19B28">
            <w:pPr>
              <w:kinsoku/>
              <w:autoSpaceDE/>
              <w:autoSpaceDN/>
              <w:adjustRightInd/>
              <w:snapToGrid/>
              <w:spacing w:line="360" w:lineRule="auto"/>
              <w:rPr>
                <w:rFonts w:hint="eastAsia" w:ascii="宋体" w:hAnsi="宋体" w:eastAsia="宋体" w:cs="宋体"/>
                <w:bCs/>
                <w:sz w:val="24"/>
                <w:szCs w:val="24"/>
              </w:rPr>
            </w:pPr>
          </w:p>
        </w:tc>
        <w:tc>
          <w:tcPr>
            <w:tcW w:w="1385" w:type="dxa"/>
            <w:vMerge w:val="continue"/>
            <w:tcBorders>
              <w:top w:val="single" w:color="auto" w:sz="4" w:space="0"/>
              <w:left w:val="single" w:color="auto" w:sz="4" w:space="0"/>
              <w:bottom w:val="single" w:color="auto" w:sz="4" w:space="0"/>
              <w:right w:val="single" w:color="auto" w:sz="4" w:space="0"/>
            </w:tcBorders>
            <w:noWrap w:val="0"/>
            <w:vAlign w:val="center"/>
          </w:tcPr>
          <w:p w14:paraId="3706BABD">
            <w:pPr>
              <w:kinsoku/>
              <w:autoSpaceDE/>
              <w:autoSpaceDN/>
              <w:adjustRightInd/>
              <w:snapToGrid/>
              <w:spacing w:line="360" w:lineRule="auto"/>
              <w:rPr>
                <w:rFonts w:hint="eastAsia" w:ascii="宋体" w:hAnsi="宋体" w:eastAsia="宋体" w:cs="宋体"/>
                <w:bCs/>
                <w:sz w:val="24"/>
                <w:szCs w:val="24"/>
              </w:rPr>
            </w:pPr>
          </w:p>
        </w:tc>
        <w:tc>
          <w:tcPr>
            <w:tcW w:w="6927" w:type="dxa"/>
            <w:tcBorders>
              <w:top w:val="single" w:color="auto" w:sz="4" w:space="0"/>
              <w:left w:val="single" w:color="auto" w:sz="4" w:space="0"/>
              <w:bottom w:val="single" w:color="auto" w:sz="4" w:space="0"/>
              <w:right w:val="single" w:color="auto" w:sz="4" w:space="0"/>
            </w:tcBorders>
            <w:noWrap w:val="0"/>
            <w:vAlign w:val="center"/>
          </w:tcPr>
          <w:p w14:paraId="320EDE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Cs/>
                <w:sz w:val="24"/>
                <w:szCs w:val="24"/>
              </w:rPr>
            </w:pPr>
            <w:r>
              <w:rPr>
                <w:rFonts w:hint="eastAsia" w:ascii="宋体" w:hAnsi="宋体" w:eastAsia="宋体" w:cs="宋体"/>
                <w:bCs/>
                <w:sz w:val="24"/>
                <w:szCs w:val="24"/>
                <w:lang w:eastAsia="zh-CN"/>
              </w:rPr>
              <w:t>3、应全面细致核查递交文件的投标人（供应商）的不良行为记录或其他要求核查的信息。每出现一处事项核查不到位的，扣1分。</w:t>
            </w:r>
            <w:r>
              <w:rPr>
                <w:rFonts w:hint="eastAsia" w:ascii="宋体" w:hAnsi="宋体" w:eastAsia="宋体" w:cs="宋体"/>
                <w:bCs/>
                <w:sz w:val="24"/>
                <w:szCs w:val="24"/>
              </w:rPr>
              <w:t>此项3分，扣完为止。</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056102E6">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bCs/>
                <w:sz w:val="24"/>
                <w:szCs w:val="24"/>
              </w:rPr>
            </w:pPr>
          </w:p>
        </w:tc>
      </w:tr>
      <w:tr w14:paraId="7CD4FCB3">
        <w:tblPrEx>
          <w:tblCellMar>
            <w:top w:w="15" w:type="dxa"/>
            <w:left w:w="15" w:type="dxa"/>
            <w:bottom w:w="15" w:type="dxa"/>
            <w:right w:w="15" w:type="dxa"/>
          </w:tblCellMar>
        </w:tblPrEx>
        <w:trPr>
          <w:trHeight w:val="1910" w:hRule="atLeast"/>
          <w:jc w:val="center"/>
        </w:trPr>
        <w:tc>
          <w:tcPr>
            <w:tcW w:w="692" w:type="dxa"/>
            <w:vMerge w:val="continue"/>
            <w:tcBorders>
              <w:top w:val="single" w:color="auto" w:sz="4" w:space="0"/>
              <w:left w:val="single" w:color="auto" w:sz="4" w:space="0"/>
              <w:bottom w:val="single" w:color="auto" w:sz="4" w:space="0"/>
              <w:right w:val="single" w:color="auto" w:sz="4" w:space="0"/>
            </w:tcBorders>
            <w:noWrap w:val="0"/>
            <w:vAlign w:val="center"/>
          </w:tcPr>
          <w:p w14:paraId="22A1E25E">
            <w:pPr>
              <w:kinsoku/>
              <w:autoSpaceDE/>
              <w:autoSpaceDN/>
              <w:adjustRightInd/>
              <w:snapToGrid/>
              <w:spacing w:line="360" w:lineRule="auto"/>
              <w:rPr>
                <w:rFonts w:hint="eastAsia" w:ascii="宋体" w:hAnsi="宋体" w:eastAsia="宋体" w:cs="宋体"/>
                <w:bCs/>
                <w:sz w:val="24"/>
                <w:szCs w:val="24"/>
              </w:rPr>
            </w:pPr>
          </w:p>
        </w:tc>
        <w:tc>
          <w:tcPr>
            <w:tcW w:w="1385" w:type="dxa"/>
            <w:vMerge w:val="continue"/>
            <w:tcBorders>
              <w:top w:val="single" w:color="auto" w:sz="4" w:space="0"/>
              <w:left w:val="single" w:color="auto" w:sz="4" w:space="0"/>
              <w:bottom w:val="single" w:color="auto" w:sz="4" w:space="0"/>
              <w:right w:val="single" w:color="auto" w:sz="4" w:space="0"/>
            </w:tcBorders>
            <w:noWrap w:val="0"/>
            <w:vAlign w:val="center"/>
          </w:tcPr>
          <w:p w14:paraId="774CF2FF">
            <w:pPr>
              <w:kinsoku/>
              <w:autoSpaceDE/>
              <w:autoSpaceDN/>
              <w:adjustRightInd/>
              <w:snapToGrid/>
              <w:spacing w:line="360" w:lineRule="auto"/>
              <w:rPr>
                <w:rFonts w:hint="eastAsia" w:ascii="宋体" w:hAnsi="宋体" w:eastAsia="宋体" w:cs="宋体"/>
                <w:bCs/>
                <w:sz w:val="24"/>
                <w:szCs w:val="24"/>
              </w:rPr>
            </w:pPr>
          </w:p>
        </w:tc>
        <w:tc>
          <w:tcPr>
            <w:tcW w:w="6927" w:type="dxa"/>
            <w:tcBorders>
              <w:top w:val="single" w:color="auto" w:sz="4" w:space="0"/>
              <w:left w:val="single" w:color="auto" w:sz="4" w:space="0"/>
              <w:bottom w:val="single" w:color="auto" w:sz="4" w:space="0"/>
              <w:right w:val="single" w:color="auto" w:sz="4" w:space="0"/>
            </w:tcBorders>
            <w:noWrap w:val="0"/>
            <w:vAlign w:val="center"/>
          </w:tcPr>
          <w:p w14:paraId="79113A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4、应专门安排一名工作人员，从严维护开标评标现场纪律，及时劝阻、制止参与采购活动的招标(采购)人、投标人（供应商）、招标代理、评委等各类人员的各种违规违纪行为。每出现一次劝阻、制止不力行为的，扣2分。此项6分，扣完为止。</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4E3D52DB">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bCs/>
                <w:sz w:val="24"/>
                <w:szCs w:val="24"/>
                <w:lang w:eastAsia="zh-CN"/>
              </w:rPr>
            </w:pPr>
          </w:p>
        </w:tc>
      </w:tr>
      <w:tr w14:paraId="0DF99A55">
        <w:tblPrEx>
          <w:tblCellMar>
            <w:top w:w="15" w:type="dxa"/>
            <w:left w:w="15" w:type="dxa"/>
            <w:bottom w:w="15" w:type="dxa"/>
            <w:right w:w="15" w:type="dxa"/>
          </w:tblCellMar>
        </w:tblPrEx>
        <w:trPr>
          <w:trHeight w:val="1443" w:hRule="atLeast"/>
          <w:jc w:val="center"/>
        </w:trPr>
        <w:tc>
          <w:tcPr>
            <w:tcW w:w="692" w:type="dxa"/>
            <w:vMerge w:val="continue"/>
            <w:tcBorders>
              <w:top w:val="single" w:color="auto" w:sz="4" w:space="0"/>
              <w:left w:val="single" w:color="auto" w:sz="4" w:space="0"/>
              <w:bottom w:val="single" w:color="auto" w:sz="4" w:space="0"/>
              <w:right w:val="single" w:color="auto" w:sz="4" w:space="0"/>
            </w:tcBorders>
            <w:noWrap w:val="0"/>
            <w:vAlign w:val="center"/>
          </w:tcPr>
          <w:p w14:paraId="5214EA33">
            <w:pPr>
              <w:kinsoku/>
              <w:autoSpaceDE/>
              <w:autoSpaceDN/>
              <w:adjustRightInd/>
              <w:snapToGrid/>
              <w:spacing w:line="360" w:lineRule="auto"/>
              <w:rPr>
                <w:rFonts w:hint="eastAsia" w:ascii="宋体" w:hAnsi="宋体" w:eastAsia="宋体" w:cs="宋体"/>
                <w:bCs/>
                <w:sz w:val="24"/>
                <w:szCs w:val="24"/>
                <w:lang w:eastAsia="zh-CN"/>
              </w:rPr>
            </w:pPr>
          </w:p>
        </w:tc>
        <w:tc>
          <w:tcPr>
            <w:tcW w:w="1385" w:type="dxa"/>
            <w:vMerge w:val="continue"/>
            <w:tcBorders>
              <w:top w:val="single" w:color="auto" w:sz="4" w:space="0"/>
              <w:left w:val="single" w:color="auto" w:sz="4" w:space="0"/>
              <w:bottom w:val="single" w:color="auto" w:sz="4" w:space="0"/>
              <w:right w:val="single" w:color="auto" w:sz="4" w:space="0"/>
            </w:tcBorders>
            <w:noWrap w:val="0"/>
            <w:vAlign w:val="center"/>
          </w:tcPr>
          <w:p w14:paraId="2918A432">
            <w:pPr>
              <w:kinsoku/>
              <w:autoSpaceDE/>
              <w:autoSpaceDN/>
              <w:adjustRightInd/>
              <w:snapToGrid/>
              <w:spacing w:line="360" w:lineRule="auto"/>
              <w:rPr>
                <w:rFonts w:hint="eastAsia" w:ascii="宋体" w:hAnsi="宋体" w:eastAsia="宋体" w:cs="宋体"/>
                <w:bCs/>
                <w:sz w:val="24"/>
                <w:szCs w:val="24"/>
                <w:lang w:eastAsia="zh-CN"/>
              </w:rPr>
            </w:pPr>
          </w:p>
        </w:tc>
        <w:tc>
          <w:tcPr>
            <w:tcW w:w="6927" w:type="dxa"/>
            <w:tcBorders>
              <w:top w:val="single" w:color="auto" w:sz="4" w:space="0"/>
              <w:left w:val="single" w:color="auto" w:sz="4" w:space="0"/>
              <w:bottom w:val="single" w:color="auto" w:sz="4" w:space="0"/>
              <w:right w:val="single" w:color="auto" w:sz="4" w:space="0"/>
            </w:tcBorders>
            <w:noWrap w:val="0"/>
            <w:vAlign w:val="center"/>
          </w:tcPr>
          <w:p w14:paraId="17CC53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Cs/>
                <w:sz w:val="24"/>
                <w:szCs w:val="24"/>
              </w:rPr>
            </w:pPr>
            <w:r>
              <w:rPr>
                <w:rFonts w:hint="eastAsia" w:ascii="宋体" w:hAnsi="宋体" w:eastAsia="宋体" w:cs="宋体"/>
                <w:bCs/>
                <w:sz w:val="24"/>
                <w:szCs w:val="24"/>
                <w:lang w:eastAsia="zh-CN"/>
              </w:rPr>
              <w:t>5、在确定中标人（成交供应商）后5日内，需按照时限要求把全部资料梳理归档，装订成册，并提供给招标(采购)人、集团存档，每延迟一天扣2分。</w:t>
            </w:r>
            <w:r>
              <w:rPr>
                <w:rFonts w:hint="eastAsia" w:ascii="宋体" w:hAnsi="宋体" w:eastAsia="宋体" w:cs="宋体"/>
                <w:bCs/>
                <w:sz w:val="24"/>
                <w:szCs w:val="24"/>
              </w:rPr>
              <w:t>此项6分，扣完为止。</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6F82098A">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bCs/>
                <w:sz w:val="24"/>
                <w:szCs w:val="24"/>
              </w:rPr>
            </w:pPr>
          </w:p>
        </w:tc>
      </w:tr>
      <w:tr w14:paraId="0AB1E7D9">
        <w:tblPrEx>
          <w:tblCellMar>
            <w:top w:w="15" w:type="dxa"/>
            <w:left w:w="15" w:type="dxa"/>
            <w:bottom w:w="15" w:type="dxa"/>
            <w:right w:w="15" w:type="dxa"/>
          </w:tblCellMar>
        </w:tblPrEx>
        <w:trPr>
          <w:trHeight w:val="975" w:hRule="atLeast"/>
          <w:jc w:val="center"/>
        </w:trPr>
        <w:tc>
          <w:tcPr>
            <w:tcW w:w="692" w:type="dxa"/>
            <w:vMerge w:val="restart"/>
            <w:tcBorders>
              <w:top w:val="single" w:color="auto" w:sz="4" w:space="0"/>
              <w:left w:val="single" w:color="auto" w:sz="4" w:space="0"/>
              <w:bottom w:val="single" w:color="auto" w:sz="4" w:space="0"/>
              <w:right w:val="single" w:color="auto" w:sz="4" w:space="0"/>
            </w:tcBorders>
            <w:noWrap w:val="0"/>
            <w:vAlign w:val="center"/>
          </w:tcPr>
          <w:p w14:paraId="6DD36F68">
            <w:pPr>
              <w:kinsoku/>
              <w:autoSpaceDE/>
              <w:autoSpaceDN/>
              <w:adjustRightInd/>
              <w:snapToGrid/>
              <w:spacing w:line="360" w:lineRule="auto"/>
              <w:jc w:val="center"/>
              <w:textAlignment w:val="center"/>
              <w:rPr>
                <w:rFonts w:hint="eastAsia" w:ascii="宋体" w:hAnsi="宋体" w:eastAsia="宋体" w:cs="宋体"/>
                <w:bCs/>
                <w:sz w:val="24"/>
                <w:szCs w:val="24"/>
              </w:rPr>
            </w:pPr>
            <w:r>
              <w:rPr>
                <w:rFonts w:hint="eastAsia" w:ascii="宋体" w:hAnsi="宋体" w:eastAsia="宋体" w:cs="宋体"/>
                <w:bCs/>
                <w:sz w:val="24"/>
                <w:szCs w:val="24"/>
              </w:rPr>
              <w:t>4</w:t>
            </w:r>
          </w:p>
        </w:tc>
        <w:tc>
          <w:tcPr>
            <w:tcW w:w="1385" w:type="dxa"/>
            <w:vMerge w:val="restart"/>
            <w:tcBorders>
              <w:top w:val="single" w:color="auto" w:sz="4" w:space="0"/>
              <w:left w:val="single" w:color="auto" w:sz="4" w:space="0"/>
              <w:bottom w:val="single" w:color="auto" w:sz="4" w:space="0"/>
              <w:right w:val="single" w:color="auto" w:sz="4" w:space="0"/>
            </w:tcBorders>
            <w:noWrap w:val="0"/>
            <w:vAlign w:val="center"/>
          </w:tcPr>
          <w:p w14:paraId="788FCC6F">
            <w:pPr>
              <w:kinsoku/>
              <w:autoSpaceDE/>
              <w:autoSpaceDN/>
              <w:adjustRightInd/>
              <w:snapToGrid/>
              <w:spacing w:line="360" w:lineRule="auto"/>
              <w:jc w:val="center"/>
              <w:textAlignment w:val="center"/>
              <w:rPr>
                <w:rFonts w:hint="eastAsia" w:ascii="宋体" w:hAnsi="宋体" w:eastAsia="宋体" w:cs="宋体"/>
                <w:bCs/>
                <w:sz w:val="24"/>
                <w:szCs w:val="24"/>
              </w:rPr>
            </w:pPr>
            <w:r>
              <w:rPr>
                <w:rFonts w:hint="eastAsia" w:ascii="宋体" w:hAnsi="宋体" w:eastAsia="宋体" w:cs="宋体"/>
                <w:bCs/>
                <w:sz w:val="24"/>
                <w:szCs w:val="24"/>
              </w:rPr>
              <w:t>其他要求（15分）</w:t>
            </w:r>
          </w:p>
        </w:tc>
        <w:tc>
          <w:tcPr>
            <w:tcW w:w="6927" w:type="dxa"/>
            <w:tcBorders>
              <w:top w:val="single" w:color="auto" w:sz="4" w:space="0"/>
              <w:left w:val="single" w:color="auto" w:sz="4" w:space="0"/>
              <w:bottom w:val="single" w:color="auto" w:sz="4" w:space="0"/>
              <w:right w:val="single" w:color="auto" w:sz="4" w:space="0"/>
            </w:tcBorders>
            <w:noWrap w:val="0"/>
            <w:vAlign w:val="center"/>
          </w:tcPr>
          <w:p w14:paraId="72A837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1、未经集团采购项目负责人允许，不得向他人透露任何与采购活动有关的资料、信息。此项10分，本项如有违反，一次性扣除。</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562FBF61">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bCs/>
                <w:sz w:val="24"/>
                <w:szCs w:val="24"/>
                <w:lang w:eastAsia="zh-CN"/>
              </w:rPr>
            </w:pPr>
          </w:p>
        </w:tc>
      </w:tr>
      <w:tr w14:paraId="0F037F7A">
        <w:tblPrEx>
          <w:tblCellMar>
            <w:top w:w="15" w:type="dxa"/>
            <w:left w:w="15" w:type="dxa"/>
            <w:bottom w:w="15" w:type="dxa"/>
            <w:right w:w="15" w:type="dxa"/>
          </w:tblCellMar>
        </w:tblPrEx>
        <w:trPr>
          <w:trHeight w:val="985" w:hRule="atLeast"/>
          <w:jc w:val="center"/>
        </w:trPr>
        <w:tc>
          <w:tcPr>
            <w:tcW w:w="692" w:type="dxa"/>
            <w:vMerge w:val="continue"/>
            <w:tcBorders>
              <w:top w:val="single" w:color="auto" w:sz="4" w:space="0"/>
              <w:left w:val="single" w:color="auto" w:sz="4" w:space="0"/>
              <w:bottom w:val="single" w:color="auto" w:sz="4" w:space="0"/>
              <w:right w:val="single" w:color="auto" w:sz="4" w:space="0"/>
            </w:tcBorders>
            <w:noWrap w:val="0"/>
            <w:vAlign w:val="center"/>
          </w:tcPr>
          <w:p w14:paraId="1C8CA72A">
            <w:pPr>
              <w:kinsoku/>
              <w:autoSpaceDE/>
              <w:autoSpaceDN/>
              <w:adjustRightInd/>
              <w:snapToGrid/>
              <w:spacing w:line="360" w:lineRule="auto"/>
              <w:rPr>
                <w:rFonts w:hint="eastAsia" w:ascii="宋体" w:hAnsi="宋体" w:eastAsia="宋体" w:cs="宋体"/>
                <w:bCs/>
                <w:sz w:val="24"/>
                <w:szCs w:val="24"/>
                <w:lang w:eastAsia="zh-CN"/>
              </w:rPr>
            </w:pPr>
          </w:p>
        </w:tc>
        <w:tc>
          <w:tcPr>
            <w:tcW w:w="1385" w:type="dxa"/>
            <w:vMerge w:val="continue"/>
            <w:tcBorders>
              <w:top w:val="single" w:color="auto" w:sz="4" w:space="0"/>
              <w:left w:val="single" w:color="auto" w:sz="4" w:space="0"/>
              <w:bottom w:val="single" w:color="auto" w:sz="4" w:space="0"/>
              <w:right w:val="single" w:color="auto" w:sz="4" w:space="0"/>
            </w:tcBorders>
            <w:noWrap w:val="0"/>
            <w:vAlign w:val="center"/>
          </w:tcPr>
          <w:p w14:paraId="3226123C">
            <w:pPr>
              <w:kinsoku/>
              <w:autoSpaceDE/>
              <w:autoSpaceDN/>
              <w:adjustRightInd/>
              <w:snapToGrid/>
              <w:spacing w:line="360" w:lineRule="auto"/>
              <w:rPr>
                <w:rFonts w:hint="eastAsia" w:ascii="宋体" w:hAnsi="宋体" w:eastAsia="宋体" w:cs="宋体"/>
                <w:bCs/>
                <w:sz w:val="24"/>
                <w:szCs w:val="24"/>
                <w:lang w:eastAsia="zh-CN"/>
              </w:rPr>
            </w:pPr>
          </w:p>
        </w:tc>
        <w:tc>
          <w:tcPr>
            <w:tcW w:w="6927" w:type="dxa"/>
            <w:tcBorders>
              <w:top w:val="single" w:color="auto" w:sz="4" w:space="0"/>
              <w:left w:val="single" w:color="auto" w:sz="4" w:space="0"/>
              <w:bottom w:val="single" w:color="auto" w:sz="4" w:space="0"/>
              <w:right w:val="single" w:color="auto" w:sz="4" w:space="0"/>
            </w:tcBorders>
            <w:noWrap w:val="0"/>
            <w:vAlign w:val="center"/>
          </w:tcPr>
          <w:p w14:paraId="16C63F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Cs/>
                <w:sz w:val="24"/>
                <w:szCs w:val="24"/>
              </w:rPr>
            </w:pPr>
            <w:r>
              <w:rPr>
                <w:rFonts w:hint="eastAsia" w:ascii="宋体" w:hAnsi="宋体" w:eastAsia="宋体" w:cs="宋体"/>
                <w:bCs/>
                <w:sz w:val="24"/>
                <w:szCs w:val="24"/>
                <w:lang w:eastAsia="zh-CN"/>
              </w:rPr>
              <w:t>2、上述所列之外的其它任何服务质量低下行为。每出现一次服务质量低下行为的，扣1分。</w:t>
            </w:r>
            <w:r>
              <w:rPr>
                <w:rFonts w:hint="eastAsia" w:ascii="宋体" w:hAnsi="宋体" w:eastAsia="宋体" w:cs="宋体"/>
                <w:bCs/>
                <w:sz w:val="24"/>
                <w:szCs w:val="24"/>
              </w:rPr>
              <w:t>此项5分，扣完为止。</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715B3F74">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bCs/>
                <w:sz w:val="24"/>
                <w:szCs w:val="24"/>
              </w:rPr>
            </w:pPr>
          </w:p>
        </w:tc>
      </w:tr>
    </w:tbl>
    <w:p w14:paraId="689B7FA4"/>
    <w:p w14:paraId="34674BEE">
      <w:pPr>
        <w:rPr>
          <w:rFonts w:hint="eastAsia" w:ascii="方正仿宋简体" w:eastAsia="方正仿宋简体"/>
          <w:sz w:val="32"/>
          <w:szCs w:val="32"/>
        </w:rPr>
      </w:pPr>
    </w:p>
    <w:p w14:paraId="768FA668">
      <w:pPr>
        <w:rPr>
          <w:rFonts w:hint="eastAsia" w:ascii="方正仿宋简体" w:eastAsia="方正仿宋简体"/>
          <w:sz w:val="32"/>
          <w:szCs w:val="32"/>
        </w:rPr>
      </w:pPr>
    </w:p>
    <w:p w14:paraId="1B01EC4B">
      <w:pPr>
        <w:rPr>
          <w:rFonts w:hint="eastAsia" w:ascii="方正仿宋简体" w:eastAsia="方正仿宋简体"/>
          <w:sz w:val="32"/>
          <w:szCs w:val="32"/>
        </w:rPr>
      </w:pPr>
    </w:p>
    <w:p w14:paraId="219A525C">
      <w:pPr>
        <w:rPr>
          <w:rFonts w:hint="eastAsia" w:ascii="方正仿宋简体" w:eastAsia="方正仿宋简体"/>
          <w:sz w:val="32"/>
          <w:szCs w:val="32"/>
        </w:rPr>
      </w:pPr>
    </w:p>
    <w:p w14:paraId="5DDF4040">
      <w:pPr>
        <w:rPr>
          <w:rFonts w:hint="eastAsia" w:ascii="方正仿宋简体" w:eastAsia="方正仿宋简体"/>
          <w:sz w:val="32"/>
          <w:szCs w:val="32"/>
        </w:rPr>
      </w:pPr>
    </w:p>
    <w:p w14:paraId="7FADB68D">
      <w:pPr>
        <w:rPr>
          <w:rFonts w:hint="eastAsia" w:ascii="方正仿宋简体" w:eastAsia="方正仿宋简体"/>
          <w:sz w:val="32"/>
          <w:szCs w:val="32"/>
        </w:rPr>
      </w:pPr>
    </w:p>
    <w:p w14:paraId="040B116E">
      <w:pPr>
        <w:rPr>
          <w:rFonts w:hint="eastAsia" w:ascii="方正仿宋简体" w:eastAsia="方正仿宋简体"/>
          <w:sz w:val="32"/>
          <w:szCs w:val="32"/>
        </w:rPr>
      </w:pPr>
    </w:p>
    <w:p w14:paraId="508F86F2">
      <w:pPr>
        <w:rPr>
          <w:rFonts w:hint="eastAsia" w:ascii="方正仿宋简体" w:eastAsia="方正仿宋简体"/>
          <w:sz w:val="32"/>
          <w:szCs w:val="32"/>
        </w:rPr>
      </w:pPr>
    </w:p>
    <w:p w14:paraId="6B7CFB92">
      <w:pPr>
        <w:rPr>
          <w:rFonts w:hint="eastAsia"/>
          <w:b/>
          <w:sz w:val="48"/>
          <w:szCs w:val="48"/>
          <w:lang w:eastAsia="zh-CN"/>
        </w:rPr>
      </w:pPr>
      <w:r>
        <w:rPr>
          <w:rFonts w:hint="eastAsia" w:ascii="方正仿宋简体" w:eastAsia="方正仿宋简体"/>
          <w:sz w:val="32"/>
          <w:szCs w:val="32"/>
        </w:rPr>
        <w:t>附件</w:t>
      </w:r>
      <w:r>
        <w:rPr>
          <w:rFonts w:hint="eastAsia" w:ascii="方正仿宋简体" w:eastAsia="方正仿宋简体"/>
          <w:sz w:val="32"/>
          <w:szCs w:val="32"/>
          <w:lang w:eastAsia="zh-CN"/>
        </w:rPr>
        <w:t>2</w:t>
      </w:r>
      <w:r>
        <w:rPr>
          <w:rFonts w:hint="eastAsia" w:ascii="方正仿宋简体" w:eastAsia="方正仿宋简体"/>
          <w:sz w:val="32"/>
          <w:szCs w:val="32"/>
        </w:rPr>
        <w:t>：</w:t>
      </w:r>
    </w:p>
    <w:p w14:paraId="697D4714">
      <w:pPr>
        <w:kinsoku/>
        <w:autoSpaceDE/>
        <w:autoSpaceDN/>
        <w:adjustRightInd/>
        <w:snapToGrid/>
        <w:spacing w:line="360" w:lineRule="auto"/>
        <w:jc w:val="center"/>
        <w:rPr>
          <w:rFonts w:hint="eastAsia" w:ascii="宋体" w:hAnsi="宋体" w:eastAsia="宋体" w:cs="宋体"/>
          <w:bCs/>
          <w:sz w:val="36"/>
          <w:szCs w:val="36"/>
          <w:lang w:eastAsia="zh-CN"/>
        </w:rPr>
      </w:pPr>
      <w:r>
        <w:rPr>
          <w:rFonts w:hint="eastAsia" w:ascii="宋体" w:hAnsi="宋体" w:eastAsia="宋体" w:cs="宋体"/>
          <w:bCs/>
          <w:sz w:val="36"/>
          <w:szCs w:val="36"/>
          <w:lang w:eastAsia="zh-CN"/>
        </w:rPr>
        <w:t>招标代理服务商年度服务评价表</w:t>
      </w:r>
    </w:p>
    <w:tbl>
      <w:tblPr>
        <w:tblStyle w:val="1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5"/>
        <w:gridCol w:w="6988"/>
        <w:gridCol w:w="867"/>
      </w:tblGrid>
      <w:tr w14:paraId="0D125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jc w:val="center"/>
        </w:trPr>
        <w:tc>
          <w:tcPr>
            <w:tcW w:w="1021" w:type="pct"/>
            <w:noWrap w:val="0"/>
            <w:vAlign w:val="center"/>
          </w:tcPr>
          <w:p w14:paraId="4602FE8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eastAsia" w:ascii="宋体" w:hAnsi="宋体" w:eastAsia="宋体" w:cs="宋体"/>
                <w:b/>
                <w:sz w:val="24"/>
                <w:szCs w:val="24"/>
              </w:rPr>
            </w:pPr>
            <w:r>
              <w:rPr>
                <w:rFonts w:hint="eastAsia" w:ascii="宋体" w:hAnsi="宋体" w:eastAsia="宋体" w:cs="宋体"/>
                <w:bCs/>
                <w:sz w:val="24"/>
                <w:szCs w:val="24"/>
                <w:lang w:eastAsia="zh-CN"/>
              </w:rPr>
              <w:t>招标代理</w:t>
            </w:r>
            <w:r>
              <w:rPr>
                <w:rFonts w:hint="eastAsia" w:ascii="宋体" w:hAnsi="宋体" w:eastAsia="宋体" w:cs="宋体"/>
                <w:bCs/>
                <w:sz w:val="24"/>
                <w:szCs w:val="24"/>
              </w:rPr>
              <w:t>服务</w:t>
            </w:r>
            <w:r>
              <w:rPr>
                <w:rFonts w:hint="eastAsia" w:ascii="宋体" w:hAnsi="宋体" w:eastAsia="宋体" w:cs="宋体"/>
                <w:bCs/>
                <w:sz w:val="24"/>
                <w:szCs w:val="24"/>
                <w:lang w:eastAsia="zh-CN"/>
              </w:rPr>
              <w:t>商</w:t>
            </w:r>
            <w:r>
              <w:rPr>
                <w:rFonts w:hint="eastAsia" w:ascii="宋体" w:hAnsi="宋体" w:eastAsia="宋体" w:cs="宋体"/>
                <w:bCs/>
                <w:sz w:val="24"/>
                <w:szCs w:val="24"/>
              </w:rPr>
              <w:t>名称</w:t>
            </w:r>
          </w:p>
        </w:tc>
        <w:tc>
          <w:tcPr>
            <w:tcW w:w="3978" w:type="pct"/>
            <w:gridSpan w:val="2"/>
            <w:noWrap w:val="0"/>
            <w:vAlign w:val="center"/>
          </w:tcPr>
          <w:p w14:paraId="692D20D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sz w:val="24"/>
                <w:szCs w:val="24"/>
              </w:rPr>
            </w:pPr>
          </w:p>
        </w:tc>
      </w:tr>
      <w:tr w14:paraId="33F5E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1021" w:type="pct"/>
            <w:noWrap w:val="0"/>
            <w:vAlign w:val="center"/>
          </w:tcPr>
          <w:p w14:paraId="571DB82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sz w:val="24"/>
                <w:szCs w:val="24"/>
              </w:rPr>
            </w:pPr>
            <w:r>
              <w:rPr>
                <w:rFonts w:hint="eastAsia" w:ascii="宋体" w:hAnsi="宋体" w:eastAsia="宋体" w:cs="宋体"/>
                <w:bCs/>
                <w:sz w:val="24"/>
                <w:szCs w:val="24"/>
              </w:rPr>
              <w:t>评价内容及分值</w:t>
            </w:r>
          </w:p>
        </w:tc>
        <w:tc>
          <w:tcPr>
            <w:tcW w:w="3540" w:type="pct"/>
            <w:noWrap w:val="0"/>
            <w:vAlign w:val="center"/>
          </w:tcPr>
          <w:p w14:paraId="1FBD42D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sz w:val="24"/>
                <w:szCs w:val="24"/>
              </w:rPr>
            </w:pPr>
            <w:r>
              <w:rPr>
                <w:rFonts w:hint="eastAsia" w:ascii="宋体" w:hAnsi="宋体" w:eastAsia="宋体" w:cs="宋体"/>
                <w:bCs/>
                <w:sz w:val="24"/>
                <w:szCs w:val="24"/>
              </w:rPr>
              <w:t>评分标准</w:t>
            </w:r>
          </w:p>
        </w:tc>
        <w:tc>
          <w:tcPr>
            <w:tcW w:w="438" w:type="pct"/>
            <w:noWrap w:val="0"/>
            <w:vAlign w:val="center"/>
          </w:tcPr>
          <w:p w14:paraId="3A467A3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sz w:val="24"/>
                <w:szCs w:val="24"/>
              </w:rPr>
            </w:pPr>
            <w:r>
              <w:rPr>
                <w:rFonts w:hint="eastAsia" w:ascii="宋体" w:hAnsi="宋体" w:eastAsia="宋体" w:cs="宋体"/>
                <w:bCs/>
                <w:sz w:val="24"/>
                <w:szCs w:val="24"/>
              </w:rPr>
              <w:t>得分</w:t>
            </w:r>
          </w:p>
        </w:tc>
      </w:tr>
      <w:tr w14:paraId="09730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6" w:hRule="atLeast"/>
          <w:jc w:val="center"/>
        </w:trPr>
        <w:tc>
          <w:tcPr>
            <w:tcW w:w="1021" w:type="pct"/>
            <w:noWrap w:val="0"/>
            <w:vAlign w:val="center"/>
          </w:tcPr>
          <w:p w14:paraId="4E59105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eastAsia="zh-CN"/>
              </w:rPr>
              <w:t>招标文件编制质量（20分）</w:t>
            </w:r>
          </w:p>
        </w:tc>
        <w:tc>
          <w:tcPr>
            <w:tcW w:w="3540" w:type="pct"/>
            <w:noWrap w:val="0"/>
            <w:vAlign w:val="center"/>
          </w:tcPr>
          <w:p w14:paraId="05C18035">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招标文件的编制清晰合理、合法、完整，招标范围详细具体、内容全面，无排斥潜在投标人条款，合同主要条款符合有关规定，招标服务过程中无技术差错。</w:t>
            </w:r>
          </w:p>
        </w:tc>
        <w:tc>
          <w:tcPr>
            <w:tcW w:w="438" w:type="pct"/>
            <w:noWrap w:val="0"/>
            <w:vAlign w:val="center"/>
          </w:tcPr>
          <w:p w14:paraId="32E6FE4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eastAsia="zh-CN"/>
              </w:rPr>
            </w:pPr>
          </w:p>
        </w:tc>
      </w:tr>
      <w:tr w14:paraId="15EB6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2" w:hRule="atLeast"/>
          <w:jc w:val="center"/>
        </w:trPr>
        <w:tc>
          <w:tcPr>
            <w:tcW w:w="1021" w:type="pct"/>
            <w:noWrap w:val="0"/>
            <w:vAlign w:val="center"/>
          </w:tcPr>
          <w:p w14:paraId="2A11374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eastAsia="zh-CN"/>
              </w:rPr>
              <w:t>服务质量、业务水平（20分）</w:t>
            </w:r>
          </w:p>
        </w:tc>
        <w:tc>
          <w:tcPr>
            <w:tcW w:w="3540" w:type="pct"/>
            <w:noWrap w:val="0"/>
            <w:vAlign w:val="center"/>
          </w:tcPr>
          <w:p w14:paraId="18B19204">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代理项目人员配备齐全，职责明确，有专职的项目负责人，能够提出建设性建议；全过程服务细致、耐心，服务态度端正；从业人员业务水平高，熟悉各项法律法规，运行程序规范。</w:t>
            </w:r>
          </w:p>
        </w:tc>
        <w:tc>
          <w:tcPr>
            <w:tcW w:w="438" w:type="pct"/>
            <w:noWrap w:val="0"/>
            <w:vAlign w:val="center"/>
          </w:tcPr>
          <w:p w14:paraId="4ADF5C8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eastAsia="zh-CN"/>
              </w:rPr>
            </w:pPr>
          </w:p>
        </w:tc>
      </w:tr>
      <w:tr w14:paraId="2AB06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6" w:hRule="atLeast"/>
          <w:jc w:val="center"/>
        </w:trPr>
        <w:tc>
          <w:tcPr>
            <w:tcW w:w="1021" w:type="pct"/>
            <w:noWrap w:val="0"/>
            <w:vAlign w:val="center"/>
          </w:tcPr>
          <w:p w14:paraId="1B19CDD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eastAsia="zh-CN"/>
              </w:rPr>
              <w:t>职业道德及行为规范（20分）</w:t>
            </w:r>
          </w:p>
        </w:tc>
        <w:tc>
          <w:tcPr>
            <w:tcW w:w="3540" w:type="pct"/>
            <w:noWrap w:val="0"/>
            <w:vAlign w:val="center"/>
          </w:tcPr>
          <w:p w14:paraId="27F7BD75">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严格遵守执业行为规范、职业道德准则，坚持实事求是，维护招标人的合法利益，严格保守执业过程中的技术和商务秘密，有较强的责任心和敬业精神。</w:t>
            </w:r>
          </w:p>
        </w:tc>
        <w:tc>
          <w:tcPr>
            <w:tcW w:w="438" w:type="pct"/>
            <w:noWrap w:val="0"/>
            <w:vAlign w:val="center"/>
          </w:tcPr>
          <w:p w14:paraId="620E17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eastAsia="zh-CN"/>
              </w:rPr>
            </w:pPr>
          </w:p>
        </w:tc>
      </w:tr>
      <w:tr w14:paraId="327D6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4" w:hRule="atLeast"/>
          <w:jc w:val="center"/>
        </w:trPr>
        <w:tc>
          <w:tcPr>
            <w:tcW w:w="1021" w:type="pct"/>
            <w:noWrap w:val="0"/>
            <w:vAlign w:val="center"/>
          </w:tcPr>
          <w:p w14:paraId="73369A3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sz w:val="24"/>
                <w:szCs w:val="24"/>
              </w:rPr>
            </w:pPr>
            <w:r>
              <w:rPr>
                <w:rFonts w:hint="eastAsia" w:ascii="宋体" w:hAnsi="宋体" w:eastAsia="宋体" w:cs="宋体"/>
                <w:bCs/>
                <w:sz w:val="24"/>
                <w:szCs w:val="24"/>
              </w:rPr>
              <w:t>招标预算控制（20分）</w:t>
            </w:r>
          </w:p>
        </w:tc>
        <w:tc>
          <w:tcPr>
            <w:tcW w:w="3540" w:type="pct"/>
            <w:noWrap w:val="0"/>
            <w:vAlign w:val="center"/>
          </w:tcPr>
          <w:p w14:paraId="7063F06D">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编制的工程量清单无漏项、无错误，招标控制价经财政评审认定无较大偏差。</w:t>
            </w:r>
          </w:p>
        </w:tc>
        <w:tc>
          <w:tcPr>
            <w:tcW w:w="438" w:type="pct"/>
            <w:noWrap w:val="0"/>
            <w:vAlign w:val="center"/>
          </w:tcPr>
          <w:p w14:paraId="380446D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eastAsia="zh-CN"/>
              </w:rPr>
            </w:pPr>
          </w:p>
        </w:tc>
      </w:tr>
      <w:tr w14:paraId="1CC25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2" w:hRule="atLeast"/>
          <w:jc w:val="center"/>
        </w:trPr>
        <w:tc>
          <w:tcPr>
            <w:tcW w:w="1021" w:type="pct"/>
            <w:noWrap w:val="0"/>
            <w:vAlign w:val="center"/>
          </w:tcPr>
          <w:p w14:paraId="3AE610A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eastAsia="zh-CN"/>
              </w:rPr>
              <w:t>代理过程其他方面综合评价（20分）</w:t>
            </w:r>
          </w:p>
        </w:tc>
        <w:tc>
          <w:tcPr>
            <w:tcW w:w="3540" w:type="pct"/>
            <w:noWrap w:val="0"/>
            <w:vAlign w:val="center"/>
          </w:tcPr>
          <w:p w14:paraId="420ED7B7">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代理服务各方面周到、细致、无疏漏，组织协调工作到位，严格按照时间节点完成工作，能够依法妥善处理质疑投诉等各种异常情况，未对招标过程产生不良影响，无违法违规行为。</w:t>
            </w:r>
          </w:p>
        </w:tc>
        <w:tc>
          <w:tcPr>
            <w:tcW w:w="438" w:type="pct"/>
            <w:noWrap w:val="0"/>
            <w:vAlign w:val="center"/>
          </w:tcPr>
          <w:p w14:paraId="36A3512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eastAsia="zh-CN"/>
              </w:rPr>
            </w:pPr>
          </w:p>
        </w:tc>
      </w:tr>
      <w:tr w14:paraId="2E50D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1021" w:type="pct"/>
            <w:noWrap w:val="0"/>
            <w:vAlign w:val="center"/>
          </w:tcPr>
          <w:p w14:paraId="40E84FA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Cs/>
                <w:sz w:val="24"/>
                <w:szCs w:val="24"/>
              </w:rPr>
            </w:pPr>
            <w:r>
              <w:rPr>
                <w:rFonts w:hint="eastAsia" w:ascii="宋体" w:hAnsi="宋体" w:eastAsia="宋体" w:cs="宋体"/>
                <w:bCs/>
                <w:sz w:val="24"/>
                <w:szCs w:val="24"/>
              </w:rPr>
              <w:t>评分合计</w:t>
            </w:r>
          </w:p>
        </w:tc>
        <w:tc>
          <w:tcPr>
            <w:tcW w:w="3978" w:type="pct"/>
            <w:gridSpan w:val="2"/>
            <w:noWrap w:val="0"/>
            <w:vAlign w:val="center"/>
          </w:tcPr>
          <w:p w14:paraId="25E4F55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tc>
      </w:tr>
      <w:tr w14:paraId="3813F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9" w:hRule="atLeast"/>
          <w:jc w:val="center"/>
        </w:trPr>
        <w:tc>
          <w:tcPr>
            <w:tcW w:w="5000" w:type="pct"/>
            <w:gridSpan w:val="3"/>
            <w:noWrap w:val="0"/>
            <w:vAlign w:val="center"/>
          </w:tcPr>
          <w:p w14:paraId="226D84AC">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z w:val="24"/>
                <w:szCs w:val="24"/>
              </w:rPr>
            </w:pPr>
            <w:r>
              <w:rPr>
                <w:rFonts w:hint="eastAsia" w:ascii="宋体" w:hAnsi="宋体" w:eastAsia="宋体" w:cs="宋体"/>
                <w:bCs/>
                <w:sz w:val="24"/>
                <w:szCs w:val="24"/>
              </w:rPr>
              <w:t>其它需说明的问题：</w:t>
            </w:r>
          </w:p>
        </w:tc>
      </w:tr>
    </w:tbl>
    <w:p w14:paraId="750A9C2E">
      <w:pPr>
        <w:rPr>
          <w:rFonts w:hint="eastAsia"/>
          <w:sz w:val="24"/>
          <w:szCs w:val="24"/>
        </w:rPr>
      </w:pPr>
    </w:p>
    <w:p w14:paraId="6A18646F">
      <w:pPr>
        <w:pStyle w:val="7"/>
        <w:ind w:left="0" w:leftChars="0" w:firstLine="0" w:firstLineChars="0"/>
        <w:rPr>
          <w:rFonts w:hint="eastAsia" w:ascii="仿宋" w:hAnsi="仿宋" w:eastAsia="仿宋" w:cs="仿宋"/>
          <w:sz w:val="22"/>
          <w:szCs w:val="22"/>
        </w:rPr>
      </w:pPr>
      <w:r>
        <w:rPr>
          <w:rFonts w:hint="eastAsia"/>
          <w:sz w:val="24"/>
          <w:szCs w:val="24"/>
        </w:rPr>
        <w:t xml:space="preserve">    </w:t>
      </w:r>
      <w:r>
        <w:rPr>
          <w:rFonts w:hint="eastAsia"/>
          <w:sz w:val="28"/>
          <w:szCs w:val="28"/>
        </w:rPr>
        <w:t>填报人签字：</w:t>
      </w:r>
    </w:p>
    <w:p w14:paraId="46BBE521">
      <w:pPr>
        <w:spacing w:before="72" w:line="227" w:lineRule="auto"/>
        <w:jc w:val="both"/>
        <w:rPr>
          <w:rFonts w:hint="eastAsia" w:ascii="宋体" w:hAnsi="宋体" w:eastAsia="宋体" w:cs="宋体"/>
          <w:spacing w:val="6"/>
          <w:sz w:val="35"/>
          <w:szCs w:val="35"/>
          <w:lang w:eastAsia="zh-CN"/>
          <w14:textOutline w14:w="6540" w14:cap="sq" w14:cmpd="sng" w14:algn="ctr">
            <w14:solidFill>
              <w14:srgbClr w14:val="000000"/>
            </w14:solidFill>
            <w14:prstDash w14:val="solid"/>
            <w14:bevel/>
          </w14:textOutline>
        </w:rPr>
      </w:pPr>
    </w:p>
    <w:p w14:paraId="595F5D71">
      <w:pPr>
        <w:spacing w:before="72" w:line="227" w:lineRule="auto"/>
        <w:jc w:val="center"/>
        <w:rPr>
          <w:rFonts w:hint="eastAsia" w:ascii="宋体" w:hAnsi="宋体" w:eastAsia="宋体" w:cs="宋体"/>
          <w:spacing w:val="6"/>
          <w:sz w:val="35"/>
          <w:szCs w:val="35"/>
          <w:lang w:eastAsia="zh-CN"/>
          <w14:textOutline w14:w="6540" w14:cap="sq" w14:cmpd="sng" w14:algn="ctr">
            <w14:solidFill>
              <w14:srgbClr w14:val="000000"/>
            </w14:solidFill>
            <w14:prstDash w14:val="solid"/>
            <w14:bevel/>
          </w14:textOutline>
        </w:rPr>
      </w:pPr>
    </w:p>
    <w:p w14:paraId="6EFBF08A">
      <w:pPr>
        <w:pStyle w:val="2"/>
        <w:bidi w:val="0"/>
        <w:rPr>
          <w:rFonts w:hint="eastAsia"/>
          <w:lang w:eastAsia="zh-CN"/>
        </w:rPr>
      </w:pPr>
      <w:bookmarkStart w:id="11" w:name="_Toc30550"/>
      <w:r>
        <w:rPr>
          <w:rFonts w:hint="eastAsia"/>
          <w:lang w:eastAsia="zh-CN"/>
        </w:rPr>
        <w:t>第</w:t>
      </w:r>
      <w:r>
        <w:rPr>
          <w:rFonts w:hint="eastAsia"/>
          <w:lang w:val="en-US" w:eastAsia="zh-CN"/>
        </w:rPr>
        <w:t>六</w:t>
      </w:r>
      <w:r>
        <w:rPr>
          <w:rFonts w:hint="eastAsia"/>
          <w:lang w:eastAsia="zh-CN"/>
        </w:rPr>
        <w:t>章 响应文件格式</w:t>
      </w:r>
      <w:bookmarkEnd w:id="11"/>
    </w:p>
    <w:p w14:paraId="3A502D6C">
      <w:pPr>
        <w:pStyle w:val="4"/>
        <w:spacing w:line="270" w:lineRule="auto"/>
        <w:rPr>
          <w:rFonts w:hint="eastAsia" w:ascii="宋体" w:hAnsi="宋体" w:eastAsia="宋体" w:cs="宋体"/>
          <w:lang w:eastAsia="zh-CN"/>
        </w:rPr>
      </w:pPr>
    </w:p>
    <w:p w14:paraId="0133C361">
      <w:pPr>
        <w:pStyle w:val="4"/>
        <w:spacing w:line="270" w:lineRule="auto"/>
        <w:rPr>
          <w:rFonts w:hint="eastAsia" w:ascii="宋体" w:hAnsi="宋体" w:eastAsia="宋体" w:cs="宋体"/>
          <w:lang w:eastAsia="zh-CN"/>
        </w:rPr>
      </w:pPr>
    </w:p>
    <w:p w14:paraId="6D09D410">
      <w:pPr>
        <w:pStyle w:val="4"/>
        <w:spacing w:line="270" w:lineRule="auto"/>
        <w:rPr>
          <w:rFonts w:hint="eastAsia" w:ascii="宋体" w:hAnsi="宋体" w:eastAsia="宋体" w:cs="宋体"/>
          <w:lang w:eastAsia="zh-CN"/>
        </w:rPr>
      </w:pPr>
    </w:p>
    <w:p w14:paraId="5089469D">
      <w:pPr>
        <w:pStyle w:val="4"/>
        <w:spacing w:line="270" w:lineRule="auto"/>
        <w:rPr>
          <w:rFonts w:hint="eastAsia" w:ascii="宋体" w:hAnsi="宋体" w:eastAsia="宋体" w:cs="宋体"/>
          <w:lang w:eastAsia="zh-CN"/>
        </w:rPr>
      </w:pPr>
    </w:p>
    <w:p w14:paraId="11AF06CD">
      <w:pPr>
        <w:pStyle w:val="4"/>
        <w:spacing w:line="270" w:lineRule="auto"/>
        <w:rPr>
          <w:rFonts w:hint="eastAsia" w:ascii="宋体" w:hAnsi="宋体" w:eastAsia="宋体" w:cs="宋体"/>
          <w:lang w:eastAsia="zh-CN"/>
        </w:rPr>
      </w:pPr>
    </w:p>
    <w:p w14:paraId="10CF6808">
      <w:pPr>
        <w:pStyle w:val="4"/>
        <w:spacing w:line="271" w:lineRule="auto"/>
        <w:rPr>
          <w:rFonts w:hint="eastAsia" w:ascii="宋体" w:hAnsi="宋体" w:eastAsia="宋体" w:cs="宋体"/>
          <w:lang w:eastAsia="zh-CN"/>
        </w:rPr>
      </w:pPr>
    </w:p>
    <w:p w14:paraId="3B903850">
      <w:pPr>
        <w:spacing w:before="48" w:line="226" w:lineRule="auto"/>
        <w:jc w:val="center"/>
        <w:outlineLvl w:val="1"/>
        <w:rPr>
          <w:rFonts w:hint="eastAsia" w:ascii="宋体" w:hAnsi="宋体" w:eastAsia="宋体" w:cs="宋体"/>
          <w:spacing w:val="10"/>
          <w:sz w:val="47"/>
          <w:szCs w:val="47"/>
          <w:lang w:eastAsia="zh-CN"/>
          <w14:textOutline w14:w="8712" w14:cap="sq" w14:cmpd="sng" w14:algn="ctr">
            <w14:solidFill>
              <w14:srgbClr w14:val="000000"/>
            </w14:solidFill>
            <w14:prstDash w14:val="solid"/>
            <w14:bevel/>
          </w14:textOutline>
        </w:rPr>
      </w:pPr>
      <w:bookmarkStart w:id="12" w:name="bookmark5"/>
      <w:bookmarkEnd w:id="12"/>
      <w:r>
        <w:rPr>
          <w:rFonts w:hint="eastAsia" w:ascii="宋体" w:hAnsi="宋体" w:eastAsia="宋体" w:cs="宋体"/>
          <w:spacing w:val="10"/>
          <w:sz w:val="47"/>
          <w:szCs w:val="47"/>
          <w:lang w:eastAsia="zh-CN"/>
          <w14:textOutline w14:w="8712" w14:cap="sq" w14:cmpd="sng" w14:algn="ctr">
            <w14:solidFill>
              <w14:srgbClr w14:val="000000"/>
            </w14:solidFill>
            <w14:prstDash w14:val="solid"/>
            <w14:bevel/>
          </w14:textOutline>
        </w:rPr>
        <w:t>济宁高新社发投资集团有限公司</w:t>
      </w:r>
    </w:p>
    <w:p w14:paraId="366AE2FE">
      <w:pPr>
        <w:spacing w:before="48" w:line="226" w:lineRule="auto"/>
        <w:jc w:val="center"/>
        <w:outlineLvl w:val="1"/>
        <w:rPr>
          <w:rFonts w:hint="eastAsia" w:ascii="宋体" w:hAnsi="宋体" w:eastAsia="宋体" w:cs="宋体"/>
          <w:spacing w:val="10"/>
          <w:sz w:val="47"/>
          <w:szCs w:val="47"/>
          <w:lang w:eastAsia="zh-CN"/>
          <w14:textOutline w14:w="8712" w14:cap="sq" w14:cmpd="sng" w14:algn="ctr">
            <w14:solidFill>
              <w14:srgbClr w14:val="000000"/>
            </w14:solidFill>
            <w14:prstDash w14:val="solid"/>
            <w14:bevel/>
          </w14:textOutline>
        </w:rPr>
      </w:pPr>
      <w:r>
        <w:rPr>
          <w:rFonts w:hint="eastAsia" w:ascii="宋体" w:hAnsi="宋体" w:eastAsia="宋体" w:cs="宋体"/>
          <w:spacing w:val="10"/>
          <w:sz w:val="47"/>
          <w:szCs w:val="47"/>
          <w:lang w:eastAsia="zh-CN"/>
          <w14:textOutline w14:w="8712" w14:cap="sq" w14:cmpd="sng" w14:algn="ctr">
            <w14:solidFill>
              <w14:srgbClr w14:val="000000"/>
            </w14:solidFill>
            <w14:prstDash w14:val="solid"/>
            <w14:bevel/>
          </w14:textOutline>
        </w:rPr>
        <w:t>招标代理服务机构框架协议</w:t>
      </w:r>
    </w:p>
    <w:p w14:paraId="7C3B518D">
      <w:pPr>
        <w:spacing w:before="48" w:line="226" w:lineRule="auto"/>
        <w:jc w:val="center"/>
        <w:outlineLvl w:val="1"/>
        <w:rPr>
          <w:rFonts w:hint="eastAsia" w:ascii="宋体" w:hAnsi="宋体" w:eastAsia="宋体" w:cs="宋体"/>
          <w:sz w:val="47"/>
          <w:szCs w:val="47"/>
          <w:lang w:eastAsia="zh-CN"/>
        </w:rPr>
      </w:pPr>
      <w:r>
        <w:rPr>
          <w:rFonts w:hint="eastAsia" w:ascii="宋体" w:hAnsi="宋体" w:eastAsia="宋体" w:cs="宋体"/>
          <w:spacing w:val="10"/>
          <w:sz w:val="47"/>
          <w:szCs w:val="47"/>
          <w:lang w:eastAsia="zh-CN"/>
          <w14:textOutline w14:w="8712" w14:cap="sq" w14:cmpd="sng" w14:algn="ctr">
            <w14:solidFill>
              <w14:srgbClr w14:val="000000"/>
            </w14:solidFill>
            <w14:prstDash w14:val="solid"/>
            <w14:bevel/>
          </w14:textOutline>
        </w:rPr>
        <w:t>采购项目</w:t>
      </w:r>
    </w:p>
    <w:p w14:paraId="3DD79537">
      <w:pPr>
        <w:pStyle w:val="4"/>
        <w:spacing w:line="254" w:lineRule="auto"/>
        <w:jc w:val="center"/>
        <w:rPr>
          <w:rFonts w:hint="eastAsia" w:ascii="宋体" w:hAnsi="宋体" w:eastAsia="宋体" w:cs="宋体"/>
          <w:lang w:eastAsia="zh-CN"/>
        </w:rPr>
      </w:pPr>
    </w:p>
    <w:p w14:paraId="6EBF0E4F">
      <w:pPr>
        <w:pStyle w:val="4"/>
        <w:spacing w:line="254" w:lineRule="auto"/>
        <w:rPr>
          <w:rFonts w:hint="eastAsia" w:ascii="宋体" w:hAnsi="宋体" w:eastAsia="宋体" w:cs="宋体"/>
          <w:lang w:eastAsia="zh-CN"/>
        </w:rPr>
      </w:pPr>
    </w:p>
    <w:p w14:paraId="1436F144">
      <w:pPr>
        <w:pStyle w:val="4"/>
        <w:spacing w:line="254" w:lineRule="auto"/>
        <w:rPr>
          <w:rFonts w:hint="eastAsia" w:ascii="宋体" w:hAnsi="宋体" w:eastAsia="宋体" w:cs="宋体"/>
          <w:lang w:eastAsia="zh-CN"/>
        </w:rPr>
      </w:pPr>
    </w:p>
    <w:p w14:paraId="2F38E95F">
      <w:pPr>
        <w:pStyle w:val="4"/>
        <w:spacing w:line="255" w:lineRule="auto"/>
        <w:rPr>
          <w:rFonts w:hint="eastAsia" w:ascii="宋体" w:hAnsi="宋体" w:eastAsia="宋体" w:cs="宋体"/>
          <w:lang w:eastAsia="zh-CN"/>
        </w:rPr>
      </w:pPr>
    </w:p>
    <w:p w14:paraId="10CDA208">
      <w:pPr>
        <w:spacing w:before="140" w:line="225" w:lineRule="auto"/>
        <w:jc w:val="center"/>
        <w:rPr>
          <w:rFonts w:hint="eastAsia" w:ascii="宋体" w:hAnsi="宋体" w:eastAsia="宋体" w:cs="宋体"/>
          <w:sz w:val="56"/>
          <w:szCs w:val="56"/>
          <w:lang w:eastAsia="zh-CN"/>
        </w:rPr>
      </w:pPr>
      <w:r>
        <w:rPr>
          <w:rFonts w:hint="eastAsia" w:ascii="宋体" w:hAnsi="宋体" w:eastAsia="宋体" w:cs="宋体"/>
          <w:spacing w:val="2"/>
          <w:sz w:val="56"/>
          <w:szCs w:val="56"/>
          <w:lang w:eastAsia="zh-CN"/>
          <w14:textOutline w14:w="7975" w14:cap="sq" w14:cmpd="sng" w14:algn="ctr">
            <w14:solidFill>
              <w14:srgbClr w14:val="000000"/>
            </w14:solidFill>
            <w14:prstDash w14:val="solid"/>
            <w14:bevel/>
          </w14:textOutline>
        </w:rPr>
        <w:t>响应文件</w:t>
      </w:r>
    </w:p>
    <w:p w14:paraId="62D696E1">
      <w:pPr>
        <w:pStyle w:val="4"/>
        <w:spacing w:line="243" w:lineRule="auto"/>
        <w:rPr>
          <w:rFonts w:hint="eastAsia" w:ascii="宋体" w:hAnsi="宋体" w:eastAsia="宋体" w:cs="宋体"/>
          <w:lang w:eastAsia="zh-CN"/>
        </w:rPr>
      </w:pPr>
    </w:p>
    <w:p w14:paraId="20CA2043">
      <w:pPr>
        <w:pStyle w:val="4"/>
        <w:spacing w:line="243" w:lineRule="auto"/>
        <w:rPr>
          <w:rFonts w:hint="eastAsia" w:ascii="宋体" w:hAnsi="宋体" w:eastAsia="宋体" w:cs="宋体"/>
          <w:lang w:eastAsia="zh-CN"/>
        </w:rPr>
      </w:pPr>
    </w:p>
    <w:p w14:paraId="4A9AEE81">
      <w:pPr>
        <w:pStyle w:val="4"/>
        <w:spacing w:line="243" w:lineRule="auto"/>
        <w:rPr>
          <w:rFonts w:hint="eastAsia" w:ascii="宋体" w:hAnsi="宋体" w:eastAsia="宋体" w:cs="宋体"/>
          <w:lang w:eastAsia="zh-CN"/>
        </w:rPr>
      </w:pPr>
    </w:p>
    <w:p w14:paraId="74AF509B">
      <w:pPr>
        <w:pStyle w:val="4"/>
        <w:spacing w:line="243" w:lineRule="auto"/>
        <w:rPr>
          <w:rFonts w:hint="eastAsia" w:ascii="宋体" w:hAnsi="宋体" w:eastAsia="宋体" w:cs="宋体"/>
          <w:lang w:eastAsia="zh-CN"/>
        </w:rPr>
      </w:pPr>
    </w:p>
    <w:p w14:paraId="347086E9">
      <w:pPr>
        <w:pStyle w:val="4"/>
        <w:spacing w:line="243" w:lineRule="auto"/>
        <w:rPr>
          <w:rFonts w:hint="eastAsia" w:ascii="宋体" w:hAnsi="宋体" w:eastAsia="宋体" w:cs="宋体"/>
          <w:lang w:eastAsia="zh-CN"/>
        </w:rPr>
      </w:pPr>
    </w:p>
    <w:p w14:paraId="38EA195A">
      <w:pPr>
        <w:pStyle w:val="4"/>
        <w:spacing w:line="243" w:lineRule="auto"/>
        <w:rPr>
          <w:rFonts w:hint="eastAsia" w:ascii="宋体" w:hAnsi="宋体" w:eastAsia="宋体" w:cs="宋体"/>
          <w:lang w:eastAsia="zh-CN"/>
        </w:rPr>
      </w:pPr>
    </w:p>
    <w:p w14:paraId="43A44AA8">
      <w:pPr>
        <w:pStyle w:val="4"/>
        <w:spacing w:line="243" w:lineRule="auto"/>
        <w:rPr>
          <w:rFonts w:hint="eastAsia" w:ascii="宋体" w:hAnsi="宋体" w:eastAsia="宋体" w:cs="宋体"/>
          <w:lang w:eastAsia="zh-CN"/>
        </w:rPr>
      </w:pPr>
    </w:p>
    <w:p w14:paraId="78BFF474">
      <w:pPr>
        <w:pStyle w:val="4"/>
        <w:spacing w:line="243" w:lineRule="auto"/>
        <w:rPr>
          <w:rFonts w:hint="eastAsia" w:ascii="宋体" w:hAnsi="宋体" w:eastAsia="宋体" w:cs="宋体"/>
          <w:lang w:eastAsia="zh-CN"/>
        </w:rPr>
      </w:pPr>
    </w:p>
    <w:p w14:paraId="4037EBE7">
      <w:pPr>
        <w:pStyle w:val="4"/>
        <w:spacing w:line="243" w:lineRule="auto"/>
        <w:rPr>
          <w:rFonts w:hint="eastAsia" w:ascii="宋体" w:hAnsi="宋体" w:eastAsia="宋体" w:cs="宋体"/>
          <w:lang w:eastAsia="zh-CN"/>
        </w:rPr>
      </w:pPr>
    </w:p>
    <w:p w14:paraId="2D524206">
      <w:pPr>
        <w:pStyle w:val="4"/>
        <w:spacing w:line="243" w:lineRule="auto"/>
        <w:rPr>
          <w:rFonts w:hint="eastAsia" w:ascii="宋体" w:hAnsi="宋体" w:eastAsia="宋体" w:cs="宋体"/>
          <w:lang w:eastAsia="zh-CN"/>
        </w:rPr>
      </w:pPr>
    </w:p>
    <w:p w14:paraId="0F798DC5">
      <w:pPr>
        <w:pStyle w:val="4"/>
        <w:spacing w:line="243" w:lineRule="auto"/>
        <w:rPr>
          <w:rFonts w:hint="eastAsia" w:ascii="宋体" w:hAnsi="宋体" w:eastAsia="宋体" w:cs="宋体"/>
          <w:lang w:eastAsia="zh-CN"/>
        </w:rPr>
      </w:pPr>
    </w:p>
    <w:p w14:paraId="19D6C471">
      <w:pPr>
        <w:pStyle w:val="4"/>
        <w:spacing w:line="243" w:lineRule="auto"/>
        <w:rPr>
          <w:rFonts w:hint="eastAsia" w:ascii="宋体" w:hAnsi="宋体" w:eastAsia="宋体" w:cs="宋体"/>
          <w:lang w:eastAsia="zh-CN"/>
        </w:rPr>
      </w:pPr>
    </w:p>
    <w:p w14:paraId="42AE3AB1">
      <w:pPr>
        <w:pStyle w:val="4"/>
        <w:spacing w:line="243" w:lineRule="auto"/>
        <w:rPr>
          <w:rFonts w:hint="eastAsia" w:ascii="宋体" w:hAnsi="宋体" w:eastAsia="宋体" w:cs="宋体"/>
          <w:lang w:eastAsia="zh-CN"/>
        </w:rPr>
      </w:pPr>
    </w:p>
    <w:p w14:paraId="264A35A1">
      <w:pPr>
        <w:pStyle w:val="4"/>
        <w:spacing w:line="243" w:lineRule="auto"/>
        <w:rPr>
          <w:rFonts w:hint="eastAsia" w:ascii="宋体" w:hAnsi="宋体" w:eastAsia="宋体" w:cs="宋体"/>
          <w:lang w:eastAsia="zh-CN"/>
        </w:rPr>
      </w:pPr>
    </w:p>
    <w:p w14:paraId="6D7E1701">
      <w:pPr>
        <w:pStyle w:val="4"/>
        <w:spacing w:line="243" w:lineRule="auto"/>
        <w:rPr>
          <w:rFonts w:hint="eastAsia" w:ascii="宋体" w:hAnsi="宋体" w:eastAsia="宋体" w:cs="宋体"/>
          <w:lang w:eastAsia="zh-CN"/>
        </w:rPr>
      </w:pPr>
    </w:p>
    <w:p w14:paraId="038041F2">
      <w:pPr>
        <w:pStyle w:val="4"/>
        <w:spacing w:line="243" w:lineRule="auto"/>
        <w:rPr>
          <w:rFonts w:hint="eastAsia" w:ascii="宋体" w:hAnsi="宋体" w:eastAsia="宋体" w:cs="宋体"/>
          <w:lang w:eastAsia="zh-CN"/>
        </w:rPr>
      </w:pPr>
    </w:p>
    <w:p w14:paraId="1CAE949A">
      <w:pPr>
        <w:pStyle w:val="4"/>
        <w:spacing w:line="244" w:lineRule="auto"/>
        <w:rPr>
          <w:rFonts w:hint="eastAsia" w:ascii="宋体" w:hAnsi="宋体" w:eastAsia="宋体" w:cs="宋体"/>
          <w:lang w:eastAsia="zh-CN"/>
        </w:rPr>
      </w:pPr>
    </w:p>
    <w:p w14:paraId="68667226">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供应商：</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（公章）</w:t>
      </w:r>
    </w:p>
    <w:p w14:paraId="06F91BC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（签字或盖章）</w:t>
      </w:r>
    </w:p>
    <w:p w14:paraId="31FAF3C1">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2025 年 月 日</w:t>
      </w:r>
    </w:p>
    <w:p w14:paraId="5572BB84">
      <w:pPr>
        <w:spacing w:line="223" w:lineRule="auto"/>
        <w:rPr>
          <w:rFonts w:hint="eastAsia" w:ascii="宋体" w:hAnsi="宋体" w:eastAsia="宋体" w:cs="宋体"/>
          <w:sz w:val="28"/>
          <w:szCs w:val="28"/>
          <w:lang w:eastAsia="zh-CN"/>
        </w:rPr>
        <w:sectPr>
          <w:pgSz w:w="11922" w:h="16839"/>
          <w:pgMar w:top="1134" w:right="1134" w:bottom="1134" w:left="1134" w:header="1134" w:footer="1134" w:gutter="0"/>
          <w:cols w:space="720" w:num="1"/>
          <w:docGrid w:linePitch="286" w:charSpace="0"/>
        </w:sectPr>
      </w:pPr>
    </w:p>
    <w:p w14:paraId="3A4E46AF">
      <w:pPr>
        <w:spacing w:before="68" w:line="222" w:lineRule="auto"/>
        <w:ind w:left="4196"/>
        <w:outlineLvl w:val="1"/>
        <w:rPr>
          <w:rFonts w:hint="eastAsia" w:ascii="宋体" w:hAnsi="宋体" w:eastAsia="宋体" w:cs="宋体"/>
          <w:spacing w:val="-23"/>
          <w:sz w:val="28"/>
          <w:szCs w:val="28"/>
          <w:lang w:eastAsia="zh-CN"/>
          <w14:textOutline w14:w="5105" w14:cap="sq" w14:cmpd="sng" w14:algn="ctr">
            <w14:solidFill>
              <w14:srgbClr w14:val="000000"/>
            </w14:solidFill>
            <w14:prstDash w14:val="solid"/>
            <w14:bevel/>
          </w14:textOutline>
        </w:rPr>
      </w:pPr>
    </w:p>
    <w:p w14:paraId="433B18D9">
      <w:pPr>
        <w:spacing w:before="68" w:line="222" w:lineRule="auto"/>
        <w:ind w:left="4196"/>
        <w:outlineLvl w:val="1"/>
        <w:rPr>
          <w:rFonts w:hint="eastAsia" w:ascii="宋体" w:hAnsi="宋体" w:eastAsia="宋体" w:cs="宋体"/>
          <w:sz w:val="28"/>
          <w:szCs w:val="28"/>
          <w:lang w:eastAsia="zh-CN"/>
        </w:rPr>
      </w:pPr>
      <w:r>
        <w:rPr>
          <w:rFonts w:hint="eastAsia" w:ascii="宋体" w:hAnsi="宋体" w:eastAsia="宋体" w:cs="宋体"/>
          <w:spacing w:val="-23"/>
          <w:sz w:val="28"/>
          <w:szCs w:val="28"/>
          <w:lang w:eastAsia="zh-CN"/>
          <w14:textOutline w14:w="5105" w14:cap="sq" w14:cmpd="sng" w14:algn="ctr">
            <w14:solidFill>
              <w14:srgbClr w14:val="000000"/>
            </w14:solidFill>
            <w14:prstDash w14:val="solid"/>
            <w14:bevel/>
          </w14:textOutline>
        </w:rPr>
        <w:t>目</w:t>
      </w:r>
      <w:r>
        <w:rPr>
          <w:rFonts w:hint="eastAsia" w:ascii="宋体" w:hAnsi="宋体" w:eastAsia="宋体" w:cs="宋体"/>
          <w:spacing w:val="12"/>
          <w:sz w:val="28"/>
          <w:szCs w:val="28"/>
          <w:lang w:eastAsia="zh-CN"/>
        </w:rPr>
        <w:t xml:space="preserve"> </w:t>
      </w:r>
      <w:r>
        <w:rPr>
          <w:rFonts w:hint="eastAsia" w:ascii="宋体" w:hAnsi="宋体" w:eastAsia="宋体" w:cs="宋体"/>
          <w:spacing w:val="12"/>
          <w:sz w:val="28"/>
          <w:szCs w:val="28"/>
          <w:lang w:val="en-US" w:eastAsia="zh-CN"/>
        </w:rPr>
        <w:t xml:space="preserve">  </w:t>
      </w:r>
      <w:r>
        <w:rPr>
          <w:rFonts w:hint="eastAsia" w:ascii="宋体" w:hAnsi="宋体" w:eastAsia="宋体" w:cs="宋体"/>
          <w:spacing w:val="-23"/>
          <w:sz w:val="28"/>
          <w:szCs w:val="28"/>
          <w:lang w:eastAsia="zh-CN"/>
          <w14:textOutline w14:w="5105" w14:cap="sq" w14:cmpd="sng" w14:algn="ctr">
            <w14:solidFill>
              <w14:srgbClr w14:val="000000"/>
            </w14:solidFill>
            <w14:prstDash w14:val="solid"/>
            <w14:bevel/>
          </w14:textOutline>
        </w:rPr>
        <w:t>录</w:t>
      </w:r>
    </w:p>
    <w:p w14:paraId="4A92067A">
      <w:pPr>
        <w:spacing w:line="360" w:lineRule="auto"/>
        <w:ind w:firstLine="460" w:firstLineChars="200"/>
        <w:rPr>
          <w:rFonts w:hint="eastAsia" w:ascii="宋体" w:hAnsi="宋体" w:eastAsia="宋体" w:cs="宋体"/>
          <w:spacing w:val="-5"/>
          <w:sz w:val="24"/>
          <w:szCs w:val="24"/>
          <w:lang w:eastAsia="zh-CN"/>
        </w:rPr>
      </w:pPr>
    </w:p>
    <w:p w14:paraId="59F37FEA">
      <w:pPr>
        <w:spacing w:line="360" w:lineRule="auto"/>
        <w:rPr>
          <w:rFonts w:hint="eastAsia" w:ascii="宋体" w:hAnsi="宋体" w:eastAsia="宋体" w:cs="宋体"/>
          <w:spacing w:val="-5"/>
          <w:sz w:val="24"/>
          <w:szCs w:val="24"/>
          <w:lang w:eastAsia="zh-CN"/>
        </w:rPr>
      </w:pPr>
    </w:p>
    <w:p w14:paraId="3B9BE2FC">
      <w:pPr>
        <w:spacing w:line="360" w:lineRule="auto"/>
        <w:ind w:firstLine="460" w:firstLineChars="200"/>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第一章 报价部分</w:t>
      </w:r>
    </w:p>
    <w:p w14:paraId="4FCC72F3">
      <w:pPr>
        <w:spacing w:line="360" w:lineRule="auto"/>
        <w:ind w:firstLine="476" w:firstLineChars="200"/>
        <w:rPr>
          <w:rFonts w:hint="eastAsia" w:ascii="宋体" w:hAnsi="宋体" w:eastAsia="宋体" w:cs="宋体"/>
          <w:spacing w:val="-1"/>
          <w:position w:val="16"/>
          <w:sz w:val="24"/>
          <w:szCs w:val="24"/>
          <w:lang w:eastAsia="zh-CN"/>
        </w:rPr>
      </w:pPr>
      <w:r>
        <w:rPr>
          <w:rFonts w:hint="eastAsia" w:ascii="宋体" w:hAnsi="宋体" w:eastAsia="宋体" w:cs="宋体"/>
          <w:spacing w:val="-1"/>
          <w:position w:val="16"/>
          <w:sz w:val="24"/>
          <w:szCs w:val="24"/>
          <w:lang w:eastAsia="zh-CN"/>
        </w:rPr>
        <w:t>第二章 供应商简介及资质（资格、资质证明文件）</w:t>
      </w:r>
    </w:p>
    <w:p w14:paraId="69F28FA3">
      <w:pPr>
        <w:spacing w:line="360" w:lineRule="auto"/>
        <w:ind w:firstLine="476" w:firstLineChars="200"/>
        <w:rPr>
          <w:rFonts w:hint="eastAsia" w:ascii="宋体" w:hAnsi="宋体" w:eastAsia="宋体" w:cs="宋体"/>
          <w:spacing w:val="-1"/>
          <w:position w:val="16"/>
          <w:sz w:val="24"/>
          <w:szCs w:val="24"/>
          <w:lang w:eastAsia="zh-CN"/>
        </w:rPr>
      </w:pPr>
      <w:r>
        <w:rPr>
          <w:rFonts w:hint="eastAsia" w:ascii="宋体" w:hAnsi="宋体" w:eastAsia="宋体" w:cs="宋体"/>
          <w:spacing w:val="-1"/>
          <w:position w:val="16"/>
          <w:sz w:val="24"/>
          <w:szCs w:val="24"/>
          <w:lang w:eastAsia="zh-CN"/>
        </w:rPr>
        <w:t>第三章 技术、商务偏离</w:t>
      </w:r>
    </w:p>
    <w:p w14:paraId="5B21C93D">
      <w:pPr>
        <w:spacing w:line="360" w:lineRule="auto"/>
        <w:ind w:firstLine="476" w:firstLineChars="200"/>
        <w:rPr>
          <w:rFonts w:hint="eastAsia" w:ascii="宋体" w:hAnsi="宋体" w:eastAsia="宋体" w:cs="宋体"/>
          <w:spacing w:val="-1"/>
          <w:position w:val="16"/>
          <w:sz w:val="24"/>
          <w:szCs w:val="24"/>
          <w:lang w:eastAsia="zh-CN"/>
        </w:rPr>
      </w:pPr>
      <w:r>
        <w:rPr>
          <w:rFonts w:hint="eastAsia" w:ascii="宋体" w:hAnsi="宋体" w:eastAsia="宋体" w:cs="宋体"/>
          <w:spacing w:val="-1"/>
          <w:position w:val="16"/>
          <w:sz w:val="24"/>
          <w:szCs w:val="24"/>
          <w:lang w:eastAsia="zh-CN"/>
        </w:rPr>
        <w:t>第四章 业绩及信誉</w:t>
      </w:r>
    </w:p>
    <w:p w14:paraId="42A1A161">
      <w:pPr>
        <w:spacing w:line="360" w:lineRule="auto"/>
        <w:ind w:firstLine="476" w:firstLineChars="200"/>
        <w:rPr>
          <w:rFonts w:hint="eastAsia" w:ascii="宋体" w:hAnsi="宋体" w:eastAsia="宋体" w:cs="宋体"/>
          <w:spacing w:val="-1"/>
          <w:position w:val="16"/>
          <w:sz w:val="24"/>
          <w:szCs w:val="24"/>
          <w:lang w:eastAsia="zh-CN"/>
        </w:rPr>
      </w:pPr>
      <w:r>
        <w:rPr>
          <w:rFonts w:hint="eastAsia" w:ascii="宋体" w:hAnsi="宋体" w:eastAsia="宋体" w:cs="宋体"/>
          <w:spacing w:val="-1"/>
          <w:position w:val="16"/>
          <w:sz w:val="24"/>
          <w:szCs w:val="24"/>
          <w:lang w:eastAsia="zh-CN"/>
        </w:rPr>
        <w:t>第五章 人员配备及服务方案</w:t>
      </w:r>
    </w:p>
    <w:p w14:paraId="5DE736AC">
      <w:pPr>
        <w:spacing w:line="360" w:lineRule="auto"/>
        <w:ind w:firstLine="476" w:firstLineChars="200"/>
        <w:rPr>
          <w:rFonts w:hint="eastAsia" w:ascii="宋体" w:hAnsi="宋体" w:eastAsia="宋体" w:cs="宋体"/>
          <w:spacing w:val="-1"/>
          <w:position w:val="16"/>
          <w:sz w:val="24"/>
          <w:szCs w:val="24"/>
          <w:lang w:eastAsia="zh-CN"/>
        </w:rPr>
      </w:pPr>
      <w:r>
        <w:rPr>
          <w:rFonts w:hint="eastAsia" w:ascii="宋体" w:hAnsi="宋体" w:eastAsia="宋体" w:cs="宋体"/>
          <w:spacing w:val="-1"/>
          <w:position w:val="16"/>
          <w:sz w:val="24"/>
          <w:szCs w:val="24"/>
          <w:lang w:eastAsia="zh-CN"/>
        </w:rPr>
        <w:t>第六章 供应商认为需要说明的其他问题</w:t>
      </w:r>
    </w:p>
    <w:p w14:paraId="6B771675">
      <w:pPr>
        <w:spacing w:line="360" w:lineRule="auto"/>
        <w:ind w:firstLine="476" w:firstLineChars="200"/>
        <w:rPr>
          <w:rFonts w:hint="eastAsia" w:ascii="宋体" w:hAnsi="宋体" w:eastAsia="宋体" w:cs="宋体"/>
          <w:spacing w:val="-1"/>
          <w:position w:val="16"/>
          <w:sz w:val="24"/>
          <w:szCs w:val="24"/>
          <w:lang w:eastAsia="zh-CN"/>
        </w:rPr>
      </w:pPr>
      <w:r>
        <w:rPr>
          <w:rFonts w:hint="eastAsia" w:ascii="宋体" w:hAnsi="宋体" w:eastAsia="宋体" w:cs="宋体"/>
          <w:spacing w:val="-1"/>
          <w:position w:val="16"/>
          <w:sz w:val="24"/>
          <w:szCs w:val="24"/>
          <w:lang w:eastAsia="zh-CN"/>
        </w:rPr>
        <w:t>备注：请供应商参照响应文件目录格式注明页码。</w:t>
      </w:r>
    </w:p>
    <w:p w14:paraId="7058B6E2">
      <w:pPr>
        <w:spacing w:line="360" w:lineRule="auto"/>
        <w:ind w:firstLine="476" w:firstLineChars="200"/>
        <w:rPr>
          <w:rFonts w:hint="eastAsia" w:ascii="宋体" w:hAnsi="宋体" w:eastAsia="宋体" w:cs="宋体"/>
          <w:spacing w:val="-1"/>
          <w:position w:val="16"/>
          <w:sz w:val="24"/>
          <w:szCs w:val="24"/>
          <w:lang w:eastAsia="zh-CN"/>
        </w:rPr>
      </w:pPr>
      <w:r>
        <w:rPr>
          <w:rFonts w:hint="eastAsia" w:ascii="宋体" w:hAnsi="宋体" w:eastAsia="宋体" w:cs="宋体"/>
          <w:spacing w:val="-1"/>
          <w:position w:val="16"/>
          <w:sz w:val="24"/>
          <w:szCs w:val="24"/>
          <w:lang w:eastAsia="zh-CN"/>
        </w:rPr>
        <w:t>（包括但不仅限于以上内容，供应商可结合本项目特点、评分标准和自身情况自行添加内容）</w:t>
      </w:r>
    </w:p>
    <w:p w14:paraId="445B6244">
      <w:pPr>
        <w:spacing w:line="360" w:lineRule="auto"/>
        <w:ind w:firstLine="476" w:firstLineChars="200"/>
        <w:rPr>
          <w:rFonts w:hint="eastAsia" w:ascii="宋体" w:hAnsi="宋体" w:eastAsia="宋体" w:cs="宋体"/>
          <w:spacing w:val="-1"/>
          <w:position w:val="16"/>
          <w:sz w:val="24"/>
          <w:szCs w:val="24"/>
          <w:lang w:eastAsia="zh-CN"/>
        </w:rPr>
        <w:sectPr>
          <w:pgSz w:w="11922" w:h="16839"/>
          <w:pgMar w:top="1134" w:right="1134" w:bottom="1134" w:left="1134" w:header="1134" w:footer="1134" w:gutter="0"/>
          <w:cols w:space="720" w:num="1"/>
          <w:docGrid w:linePitch="286" w:charSpace="0"/>
        </w:sectPr>
      </w:pPr>
    </w:p>
    <w:p w14:paraId="7621C295">
      <w:pPr>
        <w:spacing w:before="72" w:line="227" w:lineRule="auto"/>
        <w:jc w:val="center"/>
        <w:outlineLvl w:val="0"/>
        <w:rPr>
          <w:rFonts w:hint="eastAsia" w:ascii="宋体" w:hAnsi="宋体" w:eastAsia="宋体" w:cs="宋体"/>
          <w:sz w:val="35"/>
          <w:szCs w:val="35"/>
          <w:lang w:eastAsia="zh-CN"/>
        </w:rPr>
      </w:pPr>
      <w:bookmarkStart w:id="13" w:name="_Toc25340"/>
      <w:bookmarkStart w:id="14" w:name="_Toc30695"/>
      <w:r>
        <w:rPr>
          <w:rFonts w:hint="eastAsia" w:ascii="宋体" w:hAnsi="宋体" w:eastAsia="宋体" w:cs="宋体"/>
          <w:spacing w:val="8"/>
          <w:sz w:val="35"/>
          <w:szCs w:val="35"/>
          <w:lang w:eastAsia="zh-CN"/>
          <w14:textOutline w14:w="6540" w14:cap="sq" w14:cmpd="sng" w14:algn="ctr">
            <w14:solidFill>
              <w14:srgbClr w14:val="000000"/>
            </w14:solidFill>
            <w14:prstDash w14:val="solid"/>
            <w14:bevel/>
          </w14:textOutline>
        </w:rPr>
        <w:t>第一章</w:t>
      </w:r>
      <w:r>
        <w:rPr>
          <w:rFonts w:hint="eastAsia" w:ascii="宋体" w:hAnsi="宋体" w:eastAsia="宋体" w:cs="宋体"/>
          <w:spacing w:val="8"/>
          <w:sz w:val="35"/>
          <w:szCs w:val="35"/>
          <w:lang w:eastAsia="zh-CN"/>
        </w:rPr>
        <w:t xml:space="preserve"> </w:t>
      </w:r>
      <w:r>
        <w:rPr>
          <w:rFonts w:hint="eastAsia" w:ascii="宋体" w:hAnsi="宋体" w:eastAsia="宋体" w:cs="宋体"/>
          <w:spacing w:val="8"/>
          <w:sz w:val="35"/>
          <w:szCs w:val="35"/>
          <w:lang w:eastAsia="zh-CN"/>
          <w14:textOutline w14:w="6540" w14:cap="sq" w14:cmpd="sng" w14:algn="ctr">
            <w14:solidFill>
              <w14:srgbClr w14:val="000000"/>
            </w14:solidFill>
            <w14:prstDash w14:val="solid"/>
            <w14:bevel/>
          </w14:textOutline>
        </w:rPr>
        <w:t>报价部分</w:t>
      </w:r>
      <w:bookmarkEnd w:id="13"/>
      <w:bookmarkEnd w:id="14"/>
    </w:p>
    <w:p w14:paraId="6AAB59D6">
      <w:pPr>
        <w:spacing w:before="185" w:line="227" w:lineRule="auto"/>
        <w:jc w:val="center"/>
        <w:outlineLvl w:val="1"/>
        <w:rPr>
          <w:rFonts w:hint="eastAsia" w:ascii="宋体" w:hAnsi="宋体" w:eastAsia="宋体" w:cs="宋体"/>
          <w:sz w:val="31"/>
          <w:szCs w:val="31"/>
          <w:lang w:eastAsia="zh-CN"/>
        </w:rPr>
      </w:pPr>
      <w:r>
        <w:rPr>
          <w:rFonts w:hint="eastAsia" w:ascii="宋体" w:hAnsi="宋体" w:eastAsia="宋体" w:cs="宋体"/>
          <w:spacing w:val="3"/>
          <w:sz w:val="31"/>
          <w:szCs w:val="31"/>
          <w:lang w:eastAsia="zh-CN"/>
          <w14:textOutline w14:w="5791" w14:cap="sq" w14:cmpd="sng" w14:algn="ctr">
            <w14:solidFill>
              <w14:srgbClr w14:val="000000"/>
            </w14:solidFill>
            <w14:prstDash w14:val="solid"/>
            <w14:bevel/>
          </w14:textOutline>
        </w:rPr>
        <w:t>1.1报价函</w:t>
      </w:r>
    </w:p>
    <w:p w14:paraId="02123455">
      <w:pPr>
        <w:keepNext w:val="0"/>
        <w:keepLines w:val="0"/>
        <w:pageBreakBefore w:val="0"/>
        <w:widowControl/>
        <w:kinsoku w:val="0"/>
        <w:wordWrap/>
        <w:overflowPunct/>
        <w:topLinePunct w:val="0"/>
        <w:autoSpaceDE w:val="0"/>
        <w:autoSpaceDN w:val="0"/>
        <w:bidi w:val="0"/>
        <w:adjustRightInd w:val="0"/>
        <w:snapToGrid w:val="0"/>
        <w:spacing w:line="500" w:lineRule="exact"/>
        <w:ind w:firstLine="456" w:firstLineChars="200"/>
        <w:textAlignment w:val="baseline"/>
        <w:rPr>
          <w:rFonts w:hint="eastAsia" w:ascii="宋体" w:hAnsi="宋体" w:eastAsia="宋体" w:cs="宋体"/>
          <w:sz w:val="24"/>
          <w:szCs w:val="24"/>
          <w:lang w:eastAsia="zh-CN"/>
        </w:rPr>
      </w:pPr>
      <w:r>
        <w:rPr>
          <w:rFonts w:hint="eastAsia" w:ascii="宋体" w:hAnsi="宋体" w:eastAsia="宋体" w:cs="宋体"/>
          <w:spacing w:val="-6"/>
          <w:sz w:val="24"/>
          <w:szCs w:val="24"/>
          <w:u w:val="single"/>
          <w:lang w:eastAsia="zh-CN"/>
        </w:rPr>
        <w:t>（征集人</w:t>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1"/>
          <w:sz w:val="24"/>
          <w:szCs w:val="24"/>
          <w:lang w:eastAsia="zh-CN"/>
        </w:rPr>
        <w:t>：</w:t>
      </w:r>
    </w:p>
    <w:p w14:paraId="3EDFD2E8">
      <w:pPr>
        <w:keepNext w:val="0"/>
        <w:keepLines w:val="0"/>
        <w:pageBreakBefore w:val="0"/>
        <w:widowControl/>
        <w:kinsoku w:val="0"/>
        <w:wordWrap/>
        <w:overflowPunct/>
        <w:topLinePunct w:val="0"/>
        <w:autoSpaceDE w:val="0"/>
        <w:autoSpaceDN w:val="0"/>
        <w:bidi w:val="0"/>
        <w:adjustRightInd w:val="0"/>
        <w:snapToGrid w:val="0"/>
        <w:spacing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我方已经认真审阅了</w:t>
      </w:r>
      <w:r>
        <w:rPr>
          <w:rFonts w:hint="eastAsia" w:ascii="宋体" w:hAnsi="宋体" w:eastAsia="宋体" w:cs="宋体"/>
          <w:spacing w:val="-1"/>
          <w:sz w:val="24"/>
          <w:szCs w:val="24"/>
          <w:u w:val="single"/>
          <w:lang w:eastAsia="zh-CN"/>
        </w:rPr>
        <w:t>济宁高新社发投资集团有限公司招标代理服务机构框架协议采购项目</w:t>
      </w:r>
      <w:r>
        <w:rPr>
          <w:rFonts w:hint="eastAsia" w:ascii="宋体" w:hAnsi="宋体" w:eastAsia="宋体" w:cs="宋体"/>
          <w:sz w:val="24"/>
          <w:szCs w:val="24"/>
          <w:lang w:eastAsia="zh-CN"/>
        </w:rPr>
        <w:t>征集文件</w:t>
      </w:r>
      <w:r>
        <w:rPr>
          <w:rFonts w:hint="eastAsia" w:ascii="宋体" w:hAnsi="宋体" w:eastAsia="宋体" w:cs="宋体"/>
          <w:spacing w:val="-8"/>
          <w:sz w:val="24"/>
          <w:szCs w:val="24"/>
          <w:lang w:eastAsia="zh-CN"/>
        </w:rPr>
        <w:t>，</w:t>
      </w:r>
      <w:r>
        <w:rPr>
          <w:rFonts w:hint="eastAsia" w:ascii="宋体" w:hAnsi="宋体" w:eastAsia="宋体" w:cs="宋体"/>
          <w:spacing w:val="-1"/>
          <w:sz w:val="24"/>
          <w:szCs w:val="24"/>
          <w:lang w:eastAsia="zh-CN"/>
        </w:rPr>
        <w:t>并对其没有任何保留意见，经研究</w:t>
      </w:r>
      <w:r>
        <w:rPr>
          <w:rFonts w:hint="eastAsia" w:ascii="宋体" w:hAnsi="宋体" w:eastAsia="宋体" w:cs="宋体"/>
          <w:spacing w:val="-2"/>
          <w:sz w:val="24"/>
          <w:szCs w:val="24"/>
          <w:lang w:eastAsia="zh-CN"/>
        </w:rPr>
        <w:t>决定参加本项目报价</w:t>
      </w:r>
      <w:r>
        <w:rPr>
          <w:rFonts w:hint="eastAsia" w:ascii="宋体" w:hAnsi="宋体" w:eastAsia="宋体" w:cs="宋体"/>
          <w:sz w:val="24"/>
          <w:szCs w:val="24"/>
          <w:lang w:eastAsia="zh-CN"/>
        </w:rPr>
        <w:t xml:space="preserve">  </w:t>
      </w:r>
      <w:r>
        <w:rPr>
          <w:rFonts w:hint="eastAsia" w:ascii="宋体" w:hAnsi="宋体" w:eastAsia="宋体" w:cs="宋体"/>
          <w:spacing w:val="-1"/>
          <w:sz w:val="24"/>
          <w:szCs w:val="24"/>
          <w:lang w:eastAsia="zh-CN"/>
        </w:rPr>
        <w:t>并提交响应文件。为此，我方承诺如下：</w:t>
      </w:r>
    </w:p>
    <w:p w14:paraId="32E9B8A2">
      <w:pPr>
        <w:keepNext w:val="0"/>
        <w:keepLines w:val="0"/>
        <w:pageBreakBefore w:val="0"/>
        <w:widowControl/>
        <w:kinsoku w:val="0"/>
        <w:wordWrap/>
        <w:overflowPunct/>
        <w:topLinePunct w:val="0"/>
        <w:autoSpaceDE w:val="0"/>
        <w:autoSpaceDN w:val="0"/>
        <w:bidi w:val="0"/>
        <w:adjustRightInd w:val="0"/>
        <w:snapToGrid w:val="0"/>
        <w:spacing w:line="500" w:lineRule="exact"/>
        <w:ind w:firstLine="440" w:firstLineChars="200"/>
        <w:textAlignment w:val="baseline"/>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1、我方对</w:t>
      </w:r>
      <w:r>
        <w:rPr>
          <w:rFonts w:hint="eastAsia" w:ascii="宋体" w:hAnsi="宋体" w:eastAsia="宋体" w:cs="宋体"/>
          <w:spacing w:val="-13"/>
          <w:sz w:val="24"/>
          <w:szCs w:val="24"/>
          <w:lang w:eastAsia="zh-CN"/>
        </w:rPr>
        <w:t>响应文件及扫描件的真伪负责，评审结束后将需要提供原件备查，</w:t>
      </w:r>
      <w:r>
        <w:rPr>
          <w:rFonts w:hint="eastAsia" w:ascii="宋体" w:hAnsi="宋体" w:eastAsia="宋体" w:cs="宋体"/>
          <w:spacing w:val="-11"/>
          <w:sz w:val="24"/>
          <w:szCs w:val="24"/>
          <w:lang w:eastAsia="zh-CN"/>
        </w:rPr>
        <w:t>接受监督；</w:t>
      </w:r>
    </w:p>
    <w:p w14:paraId="0D2FD826">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position w:val="12"/>
          <w:sz w:val="24"/>
          <w:szCs w:val="24"/>
          <w:lang w:eastAsia="zh-CN"/>
        </w:rPr>
        <w:t>2、我方已详细研究了征集文件的所有内容，包括澄</w:t>
      </w:r>
      <w:r>
        <w:rPr>
          <w:rFonts w:hint="eastAsia" w:ascii="宋体" w:hAnsi="宋体" w:eastAsia="宋体" w:cs="宋体"/>
          <w:spacing w:val="-1"/>
          <w:position w:val="12"/>
          <w:sz w:val="24"/>
          <w:szCs w:val="24"/>
          <w:lang w:eastAsia="zh-CN"/>
        </w:rPr>
        <w:t>清及变更内容(如果有)和所</w:t>
      </w:r>
    </w:p>
    <w:p w14:paraId="1E222FE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有已提供的参考资料以及有关附件，并完全</w:t>
      </w:r>
      <w:r>
        <w:rPr>
          <w:rFonts w:hint="eastAsia" w:ascii="宋体" w:hAnsi="宋体" w:eastAsia="宋体" w:cs="宋体"/>
          <w:spacing w:val="-1"/>
          <w:sz w:val="24"/>
          <w:szCs w:val="24"/>
          <w:lang w:eastAsia="zh-CN"/>
        </w:rPr>
        <w:t>明白，同意征集文件的各项要求；</w:t>
      </w:r>
    </w:p>
    <w:p w14:paraId="3007A03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3、我方承诺响应文件中的一切资料、数据是</w:t>
      </w:r>
      <w:r>
        <w:rPr>
          <w:rFonts w:hint="eastAsia" w:ascii="宋体" w:hAnsi="宋体" w:eastAsia="宋体" w:cs="宋体"/>
          <w:spacing w:val="-1"/>
          <w:sz w:val="24"/>
          <w:szCs w:val="24"/>
          <w:lang w:eastAsia="zh-CN"/>
        </w:rPr>
        <w:t>真实的，并承担由此引起的一切责</w:t>
      </w:r>
      <w:r>
        <w:rPr>
          <w:rFonts w:hint="eastAsia" w:ascii="宋体" w:hAnsi="宋体" w:eastAsia="宋体" w:cs="宋体"/>
          <w:sz w:val="24"/>
          <w:szCs w:val="24"/>
          <w:lang w:eastAsia="zh-CN"/>
        </w:rPr>
        <w:t xml:space="preserve"> </w:t>
      </w:r>
      <w:r>
        <w:rPr>
          <w:rFonts w:hint="eastAsia" w:ascii="宋体" w:hAnsi="宋体" w:eastAsia="宋体" w:cs="宋体"/>
          <w:spacing w:val="-8"/>
          <w:sz w:val="24"/>
          <w:szCs w:val="24"/>
          <w:lang w:eastAsia="zh-CN"/>
        </w:rPr>
        <w:t>任。</w:t>
      </w:r>
    </w:p>
    <w:p w14:paraId="0E7E600C">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4、如果我方的响应文件被接受，我方将履行征集文件中规定的每一项要求，并</w:t>
      </w:r>
    </w:p>
    <w:p w14:paraId="49CD2AF8">
      <w:pPr>
        <w:keepNext w:val="0"/>
        <w:keepLines w:val="0"/>
        <w:pageBreakBefore w:val="0"/>
        <w:widowControl/>
        <w:kinsoku w:val="0"/>
        <w:wordWrap/>
        <w:overflowPunct/>
        <w:topLinePunct w:val="0"/>
        <w:autoSpaceDE w:val="0"/>
        <w:autoSpaceDN w:val="0"/>
        <w:bidi w:val="0"/>
        <w:adjustRightInd w:val="0"/>
        <w:snapToGrid w:val="0"/>
        <w:spacing w:line="500" w:lineRule="exact"/>
        <w:ind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按我方响应文件中的承诺按期、保质、保量完成项目的实施；</w:t>
      </w:r>
    </w:p>
    <w:p w14:paraId="21347DF0">
      <w:pPr>
        <w:keepNext w:val="0"/>
        <w:keepLines w:val="0"/>
        <w:pageBreakBefore w:val="0"/>
        <w:widowControl/>
        <w:kinsoku w:val="0"/>
        <w:wordWrap/>
        <w:overflowPunct/>
        <w:topLinePunct w:val="0"/>
        <w:autoSpaceDE w:val="0"/>
        <w:autoSpaceDN w:val="0"/>
        <w:bidi w:val="0"/>
        <w:adjustRightInd w:val="0"/>
        <w:snapToGrid w:val="0"/>
        <w:spacing w:line="500" w:lineRule="exact"/>
        <w:ind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5、我方理解，最低报价不是入围的唯一条件和保证；</w:t>
      </w:r>
    </w:p>
    <w:p w14:paraId="38592F81">
      <w:pPr>
        <w:keepNext w:val="0"/>
        <w:keepLines w:val="0"/>
        <w:pageBreakBefore w:val="0"/>
        <w:widowControl/>
        <w:kinsoku w:val="0"/>
        <w:wordWrap/>
        <w:overflowPunct/>
        <w:topLinePunct w:val="0"/>
        <w:autoSpaceDE w:val="0"/>
        <w:autoSpaceDN w:val="0"/>
        <w:bidi w:val="0"/>
        <w:adjustRightInd w:val="0"/>
        <w:snapToGrid w:val="0"/>
        <w:spacing w:line="500" w:lineRule="exact"/>
        <w:ind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position w:val="12"/>
          <w:sz w:val="24"/>
          <w:szCs w:val="24"/>
          <w:lang w:eastAsia="zh-CN"/>
        </w:rPr>
        <w:t>6、我方愿按《中华人民共和国民法典》履行自己的全部责任；</w:t>
      </w:r>
    </w:p>
    <w:p w14:paraId="28314DE7">
      <w:pPr>
        <w:keepNext w:val="0"/>
        <w:keepLines w:val="0"/>
        <w:pageBreakBefore w:val="0"/>
        <w:widowControl/>
        <w:kinsoku w:val="0"/>
        <w:wordWrap/>
        <w:overflowPunct/>
        <w:topLinePunct w:val="0"/>
        <w:autoSpaceDE w:val="0"/>
        <w:autoSpaceDN w:val="0"/>
        <w:bidi w:val="0"/>
        <w:adjustRightInd w:val="0"/>
        <w:snapToGrid w:val="0"/>
        <w:spacing w:line="500" w:lineRule="exact"/>
        <w:ind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7、我方同意遵守你方对本次所做的各项规定；</w:t>
      </w:r>
    </w:p>
    <w:p w14:paraId="464EDE9A">
      <w:pPr>
        <w:keepNext w:val="0"/>
        <w:keepLines w:val="0"/>
        <w:pageBreakBefore w:val="0"/>
        <w:widowControl/>
        <w:kinsoku w:val="0"/>
        <w:wordWrap/>
        <w:overflowPunct/>
        <w:topLinePunct w:val="0"/>
        <w:autoSpaceDE w:val="0"/>
        <w:autoSpaceDN w:val="0"/>
        <w:bidi w:val="0"/>
        <w:adjustRightInd w:val="0"/>
        <w:snapToGrid w:val="0"/>
        <w:spacing w:line="500" w:lineRule="exact"/>
        <w:ind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8、我方的响应文件自提交之日起有效期为90日历天；</w:t>
      </w:r>
    </w:p>
    <w:p w14:paraId="54A68E7D">
      <w:pPr>
        <w:keepNext w:val="0"/>
        <w:keepLines w:val="0"/>
        <w:pageBreakBefore w:val="0"/>
        <w:widowControl/>
        <w:kinsoku w:val="0"/>
        <w:wordWrap/>
        <w:overflowPunct/>
        <w:topLinePunct w:val="0"/>
        <w:autoSpaceDE w:val="0"/>
        <w:autoSpaceDN w:val="0"/>
        <w:bidi w:val="0"/>
        <w:adjustRightInd w:val="0"/>
        <w:snapToGrid w:val="0"/>
        <w:spacing w:line="500" w:lineRule="exact"/>
        <w:ind w:right="717" w:firstLine="476" w:firstLineChars="200"/>
        <w:jc w:val="right"/>
        <w:textAlignment w:val="baseline"/>
        <w:rPr>
          <w:rFonts w:hint="eastAsia" w:ascii="宋体" w:hAnsi="宋体" w:eastAsia="宋体" w:cs="宋体"/>
          <w:sz w:val="24"/>
          <w:szCs w:val="24"/>
          <w:lang w:eastAsia="zh-CN"/>
        </w:rPr>
      </w:pPr>
      <w:r>
        <w:rPr>
          <w:rFonts w:hint="eastAsia" w:ascii="宋体" w:hAnsi="宋体" w:eastAsia="宋体" w:cs="宋体"/>
          <w:spacing w:val="-1"/>
          <w:position w:val="12"/>
          <w:sz w:val="24"/>
          <w:szCs w:val="24"/>
          <w:lang w:eastAsia="zh-CN"/>
        </w:rPr>
        <w:t>9、我方同意按照你方可能提出的要求而提供与评审有</w:t>
      </w:r>
      <w:r>
        <w:rPr>
          <w:rFonts w:hint="eastAsia" w:ascii="宋体" w:hAnsi="宋体" w:eastAsia="宋体" w:cs="宋体"/>
          <w:spacing w:val="-2"/>
          <w:position w:val="12"/>
          <w:sz w:val="24"/>
          <w:szCs w:val="24"/>
          <w:lang w:eastAsia="zh-CN"/>
        </w:rPr>
        <w:t>关的任何其他数据或信息。</w:t>
      </w:r>
    </w:p>
    <w:p w14:paraId="77CEA666">
      <w:pPr>
        <w:keepNext w:val="0"/>
        <w:keepLines w:val="0"/>
        <w:pageBreakBefore w:val="0"/>
        <w:widowControl/>
        <w:kinsoku w:val="0"/>
        <w:wordWrap/>
        <w:overflowPunct/>
        <w:topLinePunct w:val="0"/>
        <w:autoSpaceDE w:val="0"/>
        <w:autoSpaceDN w:val="0"/>
        <w:bidi w:val="0"/>
        <w:adjustRightInd w:val="0"/>
        <w:snapToGrid w:val="0"/>
        <w:spacing w:line="500" w:lineRule="exact"/>
        <w:ind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10、与本投标有关的一切正式往来通讯请寄：</w:t>
      </w:r>
    </w:p>
    <w:p w14:paraId="770B15F4">
      <w:pPr>
        <w:keepNext w:val="0"/>
        <w:keepLines w:val="0"/>
        <w:pageBreakBefore w:val="0"/>
        <w:widowControl/>
        <w:kinsoku w:val="0"/>
        <w:wordWrap/>
        <w:overflowPunct/>
        <w:topLinePunct w:val="0"/>
        <w:autoSpaceDE w:val="0"/>
        <w:autoSpaceDN w:val="0"/>
        <w:bidi w:val="0"/>
        <w:adjustRightInd w:val="0"/>
        <w:snapToGrid w:val="0"/>
        <w:spacing w:line="500" w:lineRule="exact"/>
        <w:ind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position w:val="12"/>
          <w:sz w:val="24"/>
          <w:szCs w:val="24"/>
          <w:lang w:eastAsia="zh-CN"/>
        </w:rPr>
        <w:t>供应商代表姓名、职务（印刷体</w:t>
      </w:r>
      <w:r>
        <w:rPr>
          <w:rFonts w:hint="eastAsia" w:ascii="宋体" w:hAnsi="宋体" w:eastAsia="宋体" w:cs="宋体"/>
          <w:spacing w:val="5"/>
          <w:position w:val="12"/>
          <w:sz w:val="24"/>
          <w:szCs w:val="24"/>
          <w:lang w:eastAsia="zh-CN"/>
        </w:rPr>
        <w:t>）：</w:t>
      </w:r>
    </w:p>
    <w:p w14:paraId="17B6C172">
      <w:pPr>
        <w:keepNext w:val="0"/>
        <w:keepLines w:val="0"/>
        <w:pageBreakBefore w:val="0"/>
        <w:widowControl/>
        <w:kinsoku w:val="0"/>
        <w:wordWrap/>
        <w:overflowPunct/>
        <w:topLinePunct w:val="0"/>
        <w:autoSpaceDE w:val="0"/>
        <w:autoSpaceDN w:val="0"/>
        <w:bidi w:val="0"/>
        <w:adjustRightInd w:val="0"/>
        <w:snapToGrid w:val="0"/>
        <w:spacing w:line="500" w:lineRule="exact"/>
        <w:ind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供应商单位全称（公章）</w:t>
      </w:r>
    </w:p>
    <w:p w14:paraId="58A820E5">
      <w:pPr>
        <w:keepNext w:val="0"/>
        <w:keepLines w:val="0"/>
        <w:pageBreakBefore w:val="0"/>
        <w:widowControl/>
        <w:kinsoku w:val="0"/>
        <w:wordWrap/>
        <w:overflowPunct/>
        <w:topLinePunct w:val="0"/>
        <w:autoSpaceDE w:val="0"/>
        <w:autoSpaceDN w:val="0"/>
        <w:bidi w:val="0"/>
        <w:adjustRightInd w:val="0"/>
        <w:snapToGrid w:val="0"/>
        <w:spacing w:line="500" w:lineRule="exact"/>
        <w:ind w:firstLine="472" w:firstLineChars="200"/>
        <w:textAlignment w:val="baseline"/>
        <w:rPr>
          <w:rFonts w:hint="eastAsia" w:ascii="宋体" w:hAnsi="宋体" w:eastAsia="宋体" w:cs="宋体"/>
          <w:sz w:val="24"/>
          <w:szCs w:val="24"/>
          <w:lang w:eastAsia="zh-CN"/>
        </w:rPr>
      </w:pPr>
      <w:r>
        <w:rPr>
          <w:rFonts w:hint="eastAsia" w:ascii="宋体" w:hAnsi="宋体" w:eastAsia="宋体" w:cs="宋体"/>
          <w:spacing w:val="-2"/>
          <w:position w:val="11"/>
          <w:sz w:val="24"/>
          <w:szCs w:val="24"/>
          <w:lang w:eastAsia="zh-CN"/>
        </w:rPr>
        <w:t>法定代表人或授权代表签字（盖章或签字</w:t>
      </w:r>
      <w:r>
        <w:rPr>
          <w:rFonts w:hint="eastAsia" w:ascii="宋体" w:hAnsi="宋体" w:eastAsia="宋体" w:cs="宋体"/>
          <w:spacing w:val="1"/>
          <w:position w:val="11"/>
          <w:sz w:val="24"/>
          <w:szCs w:val="24"/>
          <w:lang w:eastAsia="zh-CN"/>
        </w:rPr>
        <w:t>）：</w:t>
      </w:r>
      <w:r>
        <w:rPr>
          <w:rFonts w:hint="eastAsia" w:ascii="宋体" w:hAnsi="宋体" w:eastAsia="宋体" w:cs="宋体"/>
          <w:spacing w:val="-2"/>
          <w:position w:val="11"/>
          <w:sz w:val="24"/>
          <w:szCs w:val="24"/>
          <w:lang w:eastAsia="zh-CN"/>
        </w:rPr>
        <w:t>地址：</w:t>
      </w:r>
    </w:p>
    <w:p w14:paraId="7BF97CF1">
      <w:pPr>
        <w:keepNext w:val="0"/>
        <w:keepLines w:val="0"/>
        <w:pageBreakBefore w:val="0"/>
        <w:widowControl/>
        <w:kinsoku w:val="0"/>
        <w:wordWrap/>
        <w:overflowPunct/>
        <w:topLinePunct w:val="0"/>
        <w:autoSpaceDE w:val="0"/>
        <w:autoSpaceDN w:val="0"/>
        <w:bidi w:val="0"/>
        <w:adjustRightInd w:val="0"/>
        <w:snapToGrid w:val="0"/>
        <w:spacing w:line="500" w:lineRule="exact"/>
        <w:ind w:firstLine="440" w:firstLineChars="200"/>
        <w:textAlignment w:val="baseline"/>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邮政编码：</w:t>
      </w:r>
    </w:p>
    <w:p w14:paraId="29AF23B1">
      <w:pPr>
        <w:keepNext w:val="0"/>
        <w:keepLines w:val="0"/>
        <w:pageBreakBefore w:val="0"/>
        <w:widowControl/>
        <w:kinsoku w:val="0"/>
        <w:wordWrap/>
        <w:overflowPunct/>
        <w:topLinePunct w:val="0"/>
        <w:autoSpaceDE w:val="0"/>
        <w:autoSpaceDN w:val="0"/>
        <w:bidi w:val="0"/>
        <w:adjustRightInd w:val="0"/>
        <w:snapToGrid w:val="0"/>
        <w:spacing w:line="500" w:lineRule="exact"/>
        <w:ind w:firstLine="452" w:firstLineChars="200"/>
        <w:textAlignment w:val="baseline"/>
        <w:rPr>
          <w:rFonts w:hint="eastAsia" w:ascii="宋体" w:hAnsi="宋体" w:eastAsia="宋体" w:cs="宋体"/>
          <w:sz w:val="24"/>
          <w:szCs w:val="24"/>
          <w:lang w:eastAsia="zh-CN"/>
        </w:rPr>
      </w:pPr>
      <w:r>
        <w:rPr>
          <w:rFonts w:hint="eastAsia" w:ascii="宋体" w:hAnsi="宋体" w:eastAsia="宋体" w:cs="宋体"/>
          <w:spacing w:val="-7"/>
          <w:position w:val="12"/>
          <w:sz w:val="24"/>
          <w:szCs w:val="24"/>
          <w:lang w:eastAsia="zh-CN"/>
        </w:rPr>
        <w:t>手机号码：</w:t>
      </w:r>
    </w:p>
    <w:p w14:paraId="0D3C4964">
      <w:pPr>
        <w:keepNext w:val="0"/>
        <w:keepLines w:val="0"/>
        <w:pageBreakBefore w:val="0"/>
        <w:widowControl/>
        <w:kinsoku w:val="0"/>
        <w:wordWrap/>
        <w:overflowPunct/>
        <w:topLinePunct w:val="0"/>
        <w:autoSpaceDE w:val="0"/>
        <w:autoSpaceDN w:val="0"/>
        <w:bidi w:val="0"/>
        <w:adjustRightInd w:val="0"/>
        <w:snapToGrid w:val="0"/>
        <w:spacing w:line="500" w:lineRule="exact"/>
        <w:ind w:firstLine="436" w:firstLineChars="200"/>
        <w:textAlignment w:val="baseline"/>
        <w:rPr>
          <w:rFonts w:hint="eastAsia" w:ascii="宋体" w:hAnsi="宋体" w:eastAsia="宋体" w:cs="宋体"/>
          <w:sz w:val="24"/>
          <w:szCs w:val="24"/>
          <w:lang w:eastAsia="zh-CN"/>
        </w:rPr>
      </w:pPr>
      <w:r>
        <w:rPr>
          <w:rFonts w:hint="eastAsia" w:ascii="宋体" w:hAnsi="宋体" w:eastAsia="宋体" w:cs="宋体"/>
          <w:spacing w:val="-11"/>
          <w:sz w:val="24"/>
          <w:szCs w:val="24"/>
          <w:lang w:eastAsia="zh-CN"/>
        </w:rPr>
        <w:t>固定电话：</w:t>
      </w:r>
    </w:p>
    <w:p w14:paraId="3BB40911">
      <w:pPr>
        <w:keepNext w:val="0"/>
        <w:keepLines w:val="0"/>
        <w:pageBreakBefore w:val="0"/>
        <w:widowControl/>
        <w:kinsoku w:val="0"/>
        <w:wordWrap/>
        <w:overflowPunct/>
        <w:topLinePunct w:val="0"/>
        <w:autoSpaceDE w:val="0"/>
        <w:autoSpaceDN w:val="0"/>
        <w:bidi w:val="0"/>
        <w:adjustRightInd w:val="0"/>
        <w:snapToGrid w:val="0"/>
        <w:spacing w:line="500" w:lineRule="exact"/>
        <w:ind w:firstLine="452" w:firstLineChars="200"/>
        <w:textAlignment w:val="baseline"/>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传真：</w:t>
      </w:r>
    </w:p>
    <w:p w14:paraId="47223966">
      <w:pPr>
        <w:keepNext w:val="0"/>
        <w:keepLines w:val="0"/>
        <w:pageBreakBefore w:val="0"/>
        <w:widowControl/>
        <w:kinsoku w:val="0"/>
        <w:wordWrap/>
        <w:overflowPunct/>
        <w:topLinePunct w:val="0"/>
        <w:autoSpaceDE w:val="0"/>
        <w:autoSpaceDN w:val="0"/>
        <w:bidi w:val="0"/>
        <w:adjustRightInd w:val="0"/>
        <w:snapToGrid w:val="0"/>
        <w:spacing w:line="500" w:lineRule="exact"/>
        <w:ind w:firstLine="448" w:firstLineChars="200"/>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年</w:t>
      </w:r>
      <w:r>
        <w:rPr>
          <w:rFonts w:hint="eastAsia" w:ascii="宋体" w:hAnsi="宋体" w:eastAsia="宋体" w:cs="宋体"/>
          <w:spacing w:val="17"/>
          <w:sz w:val="24"/>
          <w:szCs w:val="24"/>
          <w:lang w:eastAsia="zh-CN"/>
        </w:rPr>
        <w:t xml:space="preserve">  </w:t>
      </w:r>
      <w:r>
        <w:rPr>
          <w:rFonts w:hint="eastAsia" w:ascii="宋体" w:hAnsi="宋体" w:eastAsia="宋体" w:cs="宋体"/>
          <w:spacing w:val="-8"/>
          <w:sz w:val="24"/>
          <w:szCs w:val="24"/>
          <w:lang w:eastAsia="zh-CN"/>
        </w:rPr>
        <w:t>月</w:t>
      </w:r>
      <w:r>
        <w:rPr>
          <w:rFonts w:hint="eastAsia" w:ascii="宋体" w:hAnsi="宋体" w:eastAsia="宋体" w:cs="宋体"/>
          <w:spacing w:val="23"/>
          <w:sz w:val="24"/>
          <w:szCs w:val="24"/>
          <w:lang w:eastAsia="zh-CN"/>
        </w:rPr>
        <w:t xml:space="preserve">  </w:t>
      </w:r>
      <w:r>
        <w:rPr>
          <w:rFonts w:hint="eastAsia" w:ascii="宋体" w:hAnsi="宋体" w:eastAsia="宋体" w:cs="宋体"/>
          <w:spacing w:val="-8"/>
          <w:sz w:val="24"/>
          <w:szCs w:val="24"/>
          <w:lang w:eastAsia="zh-CN"/>
        </w:rPr>
        <w:t>日</w:t>
      </w:r>
    </w:p>
    <w:p w14:paraId="2781759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lang w:eastAsia="zh-CN"/>
        </w:rPr>
        <w:sectPr>
          <w:pgSz w:w="11922" w:h="16839"/>
          <w:pgMar w:top="1134" w:right="1134" w:bottom="1134" w:left="1134" w:header="1134" w:footer="1134" w:gutter="0"/>
          <w:cols w:space="720" w:num="1"/>
          <w:docGrid w:linePitch="286" w:charSpace="0"/>
        </w:sectPr>
      </w:pPr>
    </w:p>
    <w:p w14:paraId="21941EA6">
      <w:pPr>
        <w:spacing w:before="76" w:line="228" w:lineRule="auto"/>
        <w:ind w:left="3062"/>
        <w:outlineLvl w:val="1"/>
        <w:rPr>
          <w:rFonts w:hint="eastAsia" w:ascii="宋体" w:hAnsi="宋体" w:eastAsia="宋体" w:cs="宋体"/>
          <w:sz w:val="31"/>
          <w:szCs w:val="31"/>
          <w:lang w:eastAsia="zh-CN"/>
        </w:rPr>
      </w:pPr>
      <w:r>
        <w:rPr>
          <w:rFonts w:hint="eastAsia" w:ascii="宋体" w:hAnsi="宋体" w:eastAsia="宋体" w:cs="宋体"/>
          <w:spacing w:val="5"/>
          <w:sz w:val="31"/>
          <w:szCs w:val="31"/>
          <w:lang w:eastAsia="zh-CN"/>
          <w14:textOutline w14:w="5740" w14:cap="sq" w14:cmpd="sng" w14:algn="ctr">
            <w14:solidFill>
              <w14:srgbClr w14:val="000000"/>
            </w14:solidFill>
            <w14:prstDash w14:val="solid"/>
            <w14:bevel/>
          </w14:textOutline>
        </w:rPr>
        <w:t>1.1</w:t>
      </w:r>
      <w:r>
        <w:rPr>
          <w:rFonts w:hint="eastAsia" w:ascii="宋体" w:hAnsi="宋体" w:eastAsia="宋体" w:cs="宋体"/>
          <w:spacing w:val="-43"/>
          <w:sz w:val="31"/>
          <w:szCs w:val="31"/>
          <w:lang w:eastAsia="zh-CN"/>
        </w:rPr>
        <w:t xml:space="preserve"> </w:t>
      </w:r>
      <w:r>
        <w:rPr>
          <w:rFonts w:hint="eastAsia" w:ascii="宋体" w:hAnsi="宋体" w:eastAsia="宋体" w:cs="宋体"/>
          <w:spacing w:val="5"/>
          <w:sz w:val="31"/>
          <w:szCs w:val="31"/>
          <w:lang w:eastAsia="zh-CN"/>
          <w14:textOutline w14:w="5791" w14:cap="sq" w14:cmpd="sng" w14:algn="ctr">
            <w14:solidFill>
              <w14:srgbClr w14:val="000000"/>
            </w14:solidFill>
            <w14:prstDash w14:val="solid"/>
            <w14:bevel/>
          </w14:textOutline>
        </w:rPr>
        <w:t>法定代表人授权委托书</w:t>
      </w:r>
    </w:p>
    <w:p w14:paraId="29EBAB44">
      <w:pPr>
        <w:pStyle w:val="4"/>
        <w:spacing w:line="305" w:lineRule="auto"/>
        <w:rPr>
          <w:rFonts w:hint="eastAsia" w:ascii="宋体" w:hAnsi="宋体" w:eastAsia="宋体" w:cs="宋体"/>
          <w:lang w:eastAsia="zh-CN"/>
        </w:rPr>
      </w:pPr>
    </w:p>
    <w:p w14:paraId="7C0DB24A">
      <w:pPr>
        <w:pStyle w:val="4"/>
        <w:spacing w:line="360" w:lineRule="auto"/>
        <w:rPr>
          <w:rFonts w:hint="eastAsia" w:ascii="宋体" w:hAnsi="宋体" w:eastAsia="宋体" w:cs="宋体"/>
          <w:sz w:val="24"/>
          <w:szCs w:val="24"/>
          <w:lang w:eastAsia="zh-CN"/>
        </w:rPr>
      </w:pPr>
    </w:p>
    <w:p w14:paraId="51EF964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2"/>
        <w:rPr>
          <w:rFonts w:hint="eastAsia" w:ascii="宋体" w:hAnsi="宋体" w:eastAsia="宋体" w:cs="宋体"/>
          <w:sz w:val="24"/>
          <w:szCs w:val="24"/>
          <w:lang w:eastAsia="zh-CN"/>
        </w:rPr>
      </w:pPr>
      <w:r>
        <w:rPr>
          <w:rFonts w:hint="eastAsia" w:ascii="宋体" w:hAnsi="宋体" w:eastAsia="宋体" w:cs="宋体"/>
          <w:spacing w:val="-2"/>
          <w:sz w:val="24"/>
          <w:szCs w:val="24"/>
          <w:u w:val="single"/>
          <w:lang w:eastAsia="zh-CN"/>
        </w:rPr>
        <w:t>济宁高新社发投资集团有限公司</w:t>
      </w:r>
      <w:r>
        <w:rPr>
          <w:rFonts w:hint="eastAsia" w:ascii="宋体" w:hAnsi="宋体" w:eastAsia="宋体" w:cs="宋体"/>
          <w:spacing w:val="-2"/>
          <w:sz w:val="24"/>
          <w:szCs w:val="24"/>
          <w:lang w:eastAsia="zh-CN"/>
        </w:rPr>
        <w:t>：</w:t>
      </w:r>
    </w:p>
    <w:p w14:paraId="24A27060">
      <w:pPr>
        <w:keepNext w:val="0"/>
        <w:keepLines w:val="0"/>
        <w:pageBreakBefore w:val="0"/>
        <w:widowControl/>
        <w:tabs>
          <w:tab w:val="left" w:pos="735"/>
        </w:tabs>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 xml:space="preserve">      </w:t>
      </w:r>
      <w:r>
        <w:rPr>
          <w:rFonts w:hint="eastAsia" w:ascii="宋体" w:hAnsi="宋体" w:eastAsia="宋体" w:cs="宋体"/>
          <w:spacing w:val="-3"/>
          <w:sz w:val="24"/>
          <w:szCs w:val="24"/>
          <w:u w:val="single"/>
          <w:lang w:eastAsia="zh-CN"/>
        </w:rPr>
        <w:t>（供应商名称）</w:t>
      </w:r>
      <w:r>
        <w:rPr>
          <w:rFonts w:hint="eastAsia" w:ascii="宋体" w:hAnsi="宋体" w:eastAsia="宋体" w:cs="宋体"/>
          <w:spacing w:val="-3"/>
          <w:sz w:val="24"/>
          <w:szCs w:val="24"/>
          <w:lang w:eastAsia="zh-CN"/>
        </w:rPr>
        <w:t>法定代表人授权</w:t>
      </w:r>
      <w:r>
        <w:rPr>
          <w:rFonts w:hint="eastAsia" w:ascii="宋体" w:hAnsi="宋体" w:eastAsia="宋体" w:cs="宋体"/>
          <w:spacing w:val="-3"/>
          <w:sz w:val="24"/>
          <w:szCs w:val="24"/>
          <w:u w:val="single"/>
          <w:lang w:eastAsia="zh-CN"/>
        </w:rPr>
        <w:t>（职务或职称</w:t>
      </w:r>
      <w:r>
        <w:rPr>
          <w:rFonts w:hint="eastAsia" w:ascii="宋体" w:hAnsi="宋体" w:eastAsia="宋体" w:cs="宋体"/>
          <w:spacing w:val="-17"/>
          <w:sz w:val="24"/>
          <w:szCs w:val="24"/>
          <w:u w:val="single"/>
          <w:lang w:eastAsia="zh-CN"/>
        </w:rPr>
        <w:t>）（</w:t>
      </w:r>
      <w:r>
        <w:rPr>
          <w:rFonts w:hint="eastAsia" w:ascii="宋体" w:hAnsi="宋体" w:eastAsia="宋体" w:cs="宋体"/>
          <w:spacing w:val="-3"/>
          <w:sz w:val="24"/>
          <w:szCs w:val="24"/>
          <w:u w:val="single"/>
          <w:lang w:eastAsia="zh-CN"/>
        </w:rPr>
        <w:t>姓名）</w:t>
      </w:r>
      <w:r>
        <w:rPr>
          <w:rFonts w:hint="eastAsia" w:ascii="宋体" w:hAnsi="宋体" w:eastAsia="宋体" w:cs="宋体"/>
          <w:spacing w:val="-3"/>
          <w:sz w:val="24"/>
          <w:szCs w:val="24"/>
          <w:lang w:eastAsia="zh-CN"/>
        </w:rPr>
        <w:t>为我单</w:t>
      </w:r>
      <w:r>
        <w:rPr>
          <w:rFonts w:hint="eastAsia" w:ascii="宋体" w:hAnsi="宋体" w:eastAsia="宋体" w:cs="宋体"/>
          <w:spacing w:val="-4"/>
          <w:sz w:val="24"/>
          <w:szCs w:val="24"/>
          <w:lang w:eastAsia="zh-CN"/>
        </w:rPr>
        <w:t>位本项目授权</w:t>
      </w:r>
      <w:r>
        <w:rPr>
          <w:rFonts w:hint="eastAsia" w:ascii="宋体" w:hAnsi="宋体" w:eastAsia="宋体" w:cs="宋体"/>
          <w:sz w:val="24"/>
          <w:szCs w:val="24"/>
          <w:lang w:eastAsia="zh-CN"/>
        </w:rPr>
        <w:t xml:space="preserve"> 代表，全权处理此次</w:t>
      </w:r>
      <w:r>
        <w:rPr>
          <w:rFonts w:hint="eastAsia" w:ascii="宋体" w:hAnsi="宋体" w:eastAsia="宋体" w:cs="宋体"/>
          <w:sz w:val="24"/>
          <w:szCs w:val="24"/>
          <w:u w:val="single"/>
          <w:lang w:eastAsia="zh-CN"/>
        </w:rPr>
        <w:t>济宁高新社发投资集团有限公司招标代理服务机构框架协议采购项目</w:t>
      </w:r>
      <w:r>
        <w:rPr>
          <w:rFonts w:hint="eastAsia" w:ascii="宋体" w:hAnsi="宋体" w:eastAsia="宋体" w:cs="宋体"/>
          <w:spacing w:val="-1"/>
          <w:sz w:val="24"/>
          <w:szCs w:val="24"/>
          <w:lang w:eastAsia="zh-CN"/>
        </w:rPr>
        <w:t>活动的一切事宜。</w:t>
      </w:r>
    </w:p>
    <w:p w14:paraId="631EB43A">
      <w:pPr>
        <w:pStyle w:val="4"/>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lang w:eastAsia="zh-CN"/>
        </w:rPr>
      </w:pPr>
    </w:p>
    <w:p w14:paraId="72D86ECF">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2"/>
        <w:rPr>
          <w:rFonts w:hint="eastAsia" w:ascii="宋体" w:hAnsi="宋体" w:eastAsia="宋体" w:cs="宋体"/>
          <w:sz w:val="24"/>
          <w:szCs w:val="24"/>
        </w:rPr>
      </w:pPr>
      <w:r>
        <w:rPr>
          <w:rFonts w:hint="eastAsia" w:ascii="宋体" w:hAnsi="宋体" w:eastAsia="宋体" w:cs="宋体"/>
          <w:spacing w:val="-4"/>
          <w:sz w:val="24"/>
          <w:szCs w:val="24"/>
        </w:rPr>
        <w:t>特此授权。</w:t>
      </w:r>
    </w:p>
    <w:p w14:paraId="4777E120">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rPr>
      </w:pPr>
    </w:p>
    <w:tbl>
      <w:tblPr>
        <w:tblStyle w:val="18"/>
        <w:tblW w:w="85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2"/>
        <w:gridCol w:w="4295"/>
      </w:tblGrid>
      <w:tr w14:paraId="5F266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8" w:hRule="atLeast"/>
        </w:trPr>
        <w:tc>
          <w:tcPr>
            <w:tcW w:w="4242" w:type="dxa"/>
          </w:tcPr>
          <w:p w14:paraId="4D9D7073">
            <w:pPr>
              <w:pStyle w:val="19"/>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lang w:eastAsia="zh-CN"/>
              </w:rPr>
            </w:pPr>
            <w:r>
              <w:rPr>
                <w:rFonts w:hint="eastAsia" w:ascii="宋体" w:hAnsi="宋体" w:eastAsia="宋体" w:cs="宋体"/>
                <w:spacing w:val="7"/>
                <w:lang w:eastAsia="zh-CN"/>
              </w:rPr>
              <w:t>（附法人代表身份证明复印件）</w:t>
            </w:r>
          </w:p>
        </w:tc>
        <w:tc>
          <w:tcPr>
            <w:tcW w:w="4295" w:type="dxa"/>
          </w:tcPr>
          <w:p w14:paraId="2C544EC3">
            <w:pPr>
              <w:pStyle w:val="19"/>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lang w:eastAsia="zh-CN"/>
              </w:rPr>
            </w:pPr>
            <w:r>
              <w:rPr>
                <w:rFonts w:hint="eastAsia" w:ascii="宋体" w:hAnsi="宋体" w:eastAsia="宋体" w:cs="宋体"/>
                <w:spacing w:val="7"/>
                <w:lang w:eastAsia="zh-CN"/>
              </w:rPr>
              <w:t>（附授权代表身份证明复印件）</w:t>
            </w:r>
          </w:p>
        </w:tc>
      </w:tr>
    </w:tbl>
    <w:p w14:paraId="04D5881F">
      <w:pPr>
        <w:pStyle w:val="4"/>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lang w:eastAsia="zh-CN"/>
        </w:rPr>
      </w:pPr>
    </w:p>
    <w:p w14:paraId="360CF95D">
      <w:pPr>
        <w:pStyle w:val="4"/>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lang w:eastAsia="zh-CN"/>
        </w:rPr>
      </w:pPr>
    </w:p>
    <w:p w14:paraId="78F6D095">
      <w:pPr>
        <w:pStyle w:val="4"/>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lang w:eastAsia="zh-CN"/>
        </w:rPr>
      </w:pPr>
    </w:p>
    <w:p w14:paraId="07ED317F">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供应商名称（公章</w:t>
      </w:r>
      <w:r>
        <w:rPr>
          <w:rFonts w:hint="eastAsia" w:ascii="宋体" w:hAnsi="宋体" w:eastAsia="宋体" w:cs="宋体"/>
          <w:spacing w:val="2"/>
          <w:sz w:val="24"/>
          <w:szCs w:val="24"/>
          <w:lang w:eastAsia="zh-CN"/>
        </w:rPr>
        <w:t>）：</w:t>
      </w:r>
    </w:p>
    <w:p w14:paraId="559FD2F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法定代表人（盖章或签字</w:t>
      </w:r>
      <w:r>
        <w:rPr>
          <w:rFonts w:hint="eastAsia" w:ascii="宋体" w:hAnsi="宋体" w:eastAsia="宋体" w:cs="宋体"/>
          <w:spacing w:val="1"/>
          <w:sz w:val="24"/>
          <w:szCs w:val="24"/>
          <w:lang w:eastAsia="zh-CN"/>
        </w:rPr>
        <w:t>）：</w:t>
      </w:r>
    </w:p>
    <w:p w14:paraId="3CC0840F">
      <w:pPr>
        <w:pStyle w:val="4"/>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z w:val="24"/>
          <w:szCs w:val="24"/>
          <w:lang w:eastAsia="zh-CN"/>
        </w:rPr>
      </w:pPr>
    </w:p>
    <w:p w14:paraId="3D5E20DA">
      <w:pPr>
        <w:pStyle w:val="4"/>
        <w:spacing w:line="360" w:lineRule="auto"/>
        <w:rPr>
          <w:rFonts w:hint="eastAsia" w:ascii="宋体" w:hAnsi="宋体" w:eastAsia="宋体" w:cs="宋体"/>
          <w:sz w:val="24"/>
          <w:szCs w:val="24"/>
          <w:lang w:eastAsia="zh-CN"/>
        </w:rPr>
      </w:pPr>
    </w:p>
    <w:p w14:paraId="43F6E032">
      <w:pPr>
        <w:pStyle w:val="4"/>
        <w:spacing w:line="360" w:lineRule="auto"/>
        <w:rPr>
          <w:rFonts w:hint="eastAsia" w:ascii="宋体" w:hAnsi="宋体" w:eastAsia="宋体" w:cs="宋体"/>
          <w:sz w:val="24"/>
          <w:szCs w:val="24"/>
          <w:lang w:eastAsia="zh-CN"/>
        </w:rPr>
      </w:pPr>
    </w:p>
    <w:p w14:paraId="0A7B14F0">
      <w:pPr>
        <w:pStyle w:val="4"/>
        <w:spacing w:line="360" w:lineRule="auto"/>
        <w:rPr>
          <w:rFonts w:hint="eastAsia" w:ascii="宋体" w:hAnsi="宋体" w:eastAsia="宋体" w:cs="宋体"/>
          <w:sz w:val="24"/>
          <w:szCs w:val="24"/>
          <w:lang w:eastAsia="zh-CN"/>
        </w:rPr>
      </w:pPr>
    </w:p>
    <w:p w14:paraId="331657B2">
      <w:pPr>
        <w:pStyle w:val="4"/>
        <w:spacing w:line="360" w:lineRule="auto"/>
        <w:rPr>
          <w:rFonts w:hint="eastAsia" w:ascii="宋体" w:hAnsi="宋体" w:eastAsia="宋体" w:cs="宋体"/>
          <w:sz w:val="24"/>
          <w:szCs w:val="24"/>
          <w:lang w:eastAsia="zh-CN"/>
        </w:rPr>
      </w:pPr>
    </w:p>
    <w:p w14:paraId="47471E67">
      <w:pPr>
        <w:spacing w:line="360" w:lineRule="auto"/>
        <w:jc w:val="right"/>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年  月  日</w:t>
      </w:r>
    </w:p>
    <w:p w14:paraId="1EFB14EA">
      <w:pPr>
        <w:spacing w:line="360" w:lineRule="auto"/>
        <w:rPr>
          <w:rFonts w:hint="eastAsia" w:ascii="宋体" w:hAnsi="宋体" w:eastAsia="宋体" w:cs="宋体"/>
          <w:sz w:val="24"/>
          <w:szCs w:val="24"/>
          <w:lang w:eastAsia="zh-CN"/>
        </w:rPr>
        <w:sectPr>
          <w:pgSz w:w="11922" w:h="16839"/>
          <w:pgMar w:top="1134" w:right="1134" w:bottom="1134" w:left="1134" w:header="1134" w:footer="1134" w:gutter="0"/>
          <w:cols w:space="720" w:num="1"/>
          <w:docGrid w:linePitch="286" w:charSpace="0"/>
        </w:sectPr>
      </w:pPr>
    </w:p>
    <w:p w14:paraId="27E20BB3">
      <w:pPr>
        <w:spacing w:before="76" w:line="227" w:lineRule="auto"/>
        <w:jc w:val="center"/>
        <w:outlineLvl w:val="1"/>
        <w:rPr>
          <w:rFonts w:hint="eastAsia" w:ascii="宋体" w:hAnsi="宋体" w:eastAsia="宋体" w:cs="宋体"/>
          <w:sz w:val="31"/>
          <w:szCs w:val="31"/>
          <w:lang w:eastAsia="zh-CN"/>
        </w:rPr>
      </w:pPr>
      <w:r>
        <w:rPr>
          <w:rFonts w:hint="eastAsia" w:ascii="宋体" w:hAnsi="宋体" w:eastAsia="宋体" w:cs="宋体"/>
          <w:spacing w:val="2"/>
          <w:sz w:val="31"/>
          <w:szCs w:val="31"/>
          <w:lang w:eastAsia="zh-CN"/>
          <w14:textOutline w14:w="5740" w14:cap="sq" w14:cmpd="sng" w14:algn="ctr">
            <w14:solidFill>
              <w14:srgbClr w14:val="000000"/>
            </w14:solidFill>
            <w14:prstDash w14:val="solid"/>
            <w14:bevel/>
          </w14:textOutline>
        </w:rPr>
        <w:t>1.2</w:t>
      </w:r>
      <w:r>
        <w:rPr>
          <w:rFonts w:hint="eastAsia" w:ascii="宋体" w:hAnsi="宋体" w:eastAsia="宋体" w:cs="宋体"/>
          <w:spacing w:val="-55"/>
          <w:sz w:val="31"/>
          <w:szCs w:val="31"/>
          <w:lang w:eastAsia="zh-CN"/>
        </w:rPr>
        <w:t xml:space="preserve"> </w:t>
      </w:r>
      <w:r>
        <w:rPr>
          <w:rFonts w:hint="eastAsia" w:ascii="宋体" w:hAnsi="宋体" w:eastAsia="宋体" w:cs="宋体"/>
          <w:spacing w:val="2"/>
          <w:sz w:val="31"/>
          <w:szCs w:val="31"/>
          <w:lang w:eastAsia="zh-CN"/>
          <w14:textOutline w14:w="5791" w14:cap="sq" w14:cmpd="sng" w14:algn="ctr">
            <w14:solidFill>
              <w14:srgbClr w14:val="000000"/>
            </w14:solidFill>
            <w14:prstDash w14:val="solid"/>
            <w14:bevel/>
          </w14:textOutline>
        </w:rPr>
        <w:t>报价一览表</w:t>
      </w:r>
    </w:p>
    <w:p w14:paraId="0488CD1B">
      <w:pPr>
        <w:pStyle w:val="4"/>
        <w:spacing w:line="452" w:lineRule="auto"/>
        <w:rPr>
          <w:rFonts w:hint="eastAsia" w:ascii="宋体" w:hAnsi="宋体" w:eastAsia="宋体" w:cs="宋体"/>
          <w:lang w:eastAsia="zh-CN"/>
        </w:rPr>
      </w:pPr>
    </w:p>
    <w:tbl>
      <w:tblPr>
        <w:tblStyle w:val="18"/>
        <w:tblW w:w="8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4"/>
        <w:gridCol w:w="7295"/>
      </w:tblGrid>
      <w:tr w14:paraId="7CE45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2" w:hRule="atLeast"/>
          <w:jc w:val="center"/>
        </w:trPr>
        <w:tc>
          <w:tcPr>
            <w:tcW w:w="1564" w:type="dxa"/>
            <w:vAlign w:val="center"/>
          </w:tcPr>
          <w:p w14:paraId="38A0D440">
            <w:pPr>
              <w:pStyle w:val="19"/>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rPr>
            </w:pPr>
            <w:r>
              <w:rPr>
                <w:rFonts w:hint="eastAsia" w:ascii="宋体" w:hAnsi="宋体" w:eastAsia="宋体" w:cs="宋体"/>
                <w:spacing w:val="-9"/>
                <w:sz w:val="24"/>
                <w:szCs w:val="24"/>
                <w14:textOutline w14:w="4356" w14:cap="sq" w14:cmpd="sng" w14:algn="ctr">
                  <w14:solidFill>
                    <w14:srgbClr w14:val="000000"/>
                  </w14:solidFill>
                  <w14:prstDash w14:val="solid"/>
                  <w14:bevel/>
                </w14:textOutline>
              </w:rPr>
              <w:t>名</w:t>
            </w:r>
            <w:r>
              <w:rPr>
                <w:rFonts w:hint="eastAsia" w:ascii="宋体" w:hAnsi="宋体" w:eastAsia="宋体" w:cs="宋体"/>
                <w:spacing w:val="-9"/>
                <w:sz w:val="24"/>
                <w:szCs w:val="24"/>
                <w:lang w:val="en-US" w:eastAsia="zh-CN"/>
                <w14:textOutline w14:w="4356" w14:cap="sq" w14:cmpd="sng" w14:algn="ctr">
                  <w14:solidFill>
                    <w14:srgbClr w14:val="000000"/>
                  </w14:solidFill>
                  <w14:prstDash w14:val="solid"/>
                  <w14:bevel/>
                </w14:textOutline>
              </w:rPr>
              <w:t xml:space="preserve">  </w:t>
            </w:r>
            <w:r>
              <w:rPr>
                <w:rFonts w:hint="eastAsia" w:ascii="宋体" w:hAnsi="宋体" w:eastAsia="宋体" w:cs="宋体"/>
                <w:spacing w:val="-9"/>
                <w:sz w:val="24"/>
                <w:szCs w:val="24"/>
                <w14:textOutline w14:w="4356" w14:cap="sq" w14:cmpd="sng" w14:algn="ctr">
                  <w14:solidFill>
                    <w14:srgbClr w14:val="000000"/>
                  </w14:solidFill>
                  <w14:prstDash w14:val="solid"/>
                  <w14:bevel/>
                </w14:textOutline>
              </w:rPr>
              <w:t>称</w:t>
            </w:r>
          </w:p>
        </w:tc>
        <w:tc>
          <w:tcPr>
            <w:tcW w:w="7295" w:type="dxa"/>
            <w:vAlign w:val="center"/>
          </w:tcPr>
          <w:p w14:paraId="6ABDB5F4">
            <w:pPr>
              <w:pStyle w:val="19"/>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rPr>
            </w:pPr>
            <w:r>
              <w:rPr>
                <w:rFonts w:hint="eastAsia" w:ascii="宋体" w:hAnsi="宋体" w:eastAsia="宋体" w:cs="宋体"/>
                <w:spacing w:val="-23"/>
                <w:sz w:val="24"/>
                <w:szCs w:val="24"/>
                <w14:textOutline w14:w="4356" w14:cap="sq" w14:cmpd="sng" w14:algn="ctr">
                  <w14:solidFill>
                    <w14:srgbClr w14:val="000000"/>
                  </w14:solidFill>
                  <w14:prstDash w14:val="solid"/>
                  <w14:bevel/>
                </w14:textOutline>
              </w:rPr>
              <w:t>内</w:t>
            </w:r>
            <w:r>
              <w:rPr>
                <w:rFonts w:hint="eastAsia" w:ascii="宋体" w:hAnsi="宋体" w:eastAsia="宋体" w:cs="宋体"/>
                <w:spacing w:val="-23"/>
                <w:sz w:val="24"/>
                <w:szCs w:val="24"/>
                <w:lang w:val="en-US" w:eastAsia="zh-CN"/>
                <w14:textOutline w14:w="4356" w14:cap="sq" w14:cmpd="sng" w14:algn="ctr">
                  <w14:solidFill>
                    <w14:srgbClr w14:val="000000"/>
                  </w14:solidFill>
                  <w14:prstDash w14:val="solid"/>
                  <w14:bevel/>
                </w14:textOutline>
              </w:rPr>
              <w:t xml:space="preserve">    </w:t>
            </w:r>
            <w:r>
              <w:rPr>
                <w:rFonts w:hint="eastAsia" w:ascii="宋体" w:hAnsi="宋体" w:eastAsia="宋体" w:cs="宋体"/>
                <w:spacing w:val="-23"/>
                <w:sz w:val="24"/>
                <w:szCs w:val="24"/>
                <w14:textOutline w14:w="4356" w14:cap="sq" w14:cmpd="sng" w14:algn="ctr">
                  <w14:solidFill>
                    <w14:srgbClr w14:val="000000"/>
                  </w14:solidFill>
                  <w14:prstDash w14:val="solid"/>
                  <w14:bevel/>
                </w14:textOutline>
              </w:rPr>
              <w:t>容</w:t>
            </w:r>
          </w:p>
        </w:tc>
      </w:tr>
      <w:tr w14:paraId="7E465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jc w:val="center"/>
        </w:trPr>
        <w:tc>
          <w:tcPr>
            <w:tcW w:w="1564" w:type="dxa"/>
            <w:vAlign w:val="center"/>
          </w:tcPr>
          <w:p w14:paraId="2D738BF9">
            <w:pPr>
              <w:pStyle w:val="19"/>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项目名称</w:t>
            </w:r>
          </w:p>
        </w:tc>
        <w:tc>
          <w:tcPr>
            <w:tcW w:w="7295" w:type="dxa"/>
            <w:vAlign w:val="center"/>
          </w:tcPr>
          <w:p w14:paraId="3E1BAF09">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16"/>
              <w:jc w:val="center"/>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济宁高新社发投资集团有限公司招标代理服务机构框架协议采购项目</w:t>
            </w:r>
          </w:p>
        </w:tc>
      </w:tr>
      <w:tr w14:paraId="13079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2" w:hRule="atLeast"/>
          <w:jc w:val="center"/>
        </w:trPr>
        <w:tc>
          <w:tcPr>
            <w:tcW w:w="1564" w:type="dxa"/>
            <w:vAlign w:val="center"/>
          </w:tcPr>
          <w:p w14:paraId="456456E9">
            <w:pPr>
              <w:pStyle w:val="19"/>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报价</w:t>
            </w:r>
          </w:p>
        </w:tc>
        <w:tc>
          <w:tcPr>
            <w:tcW w:w="7295" w:type="dxa"/>
            <w:vAlign w:val="center"/>
          </w:tcPr>
          <w:p w14:paraId="38A5A123">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17"/>
              <w:jc w:val="left"/>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我单位承诺：</w:t>
            </w:r>
          </w:p>
          <w:p w14:paraId="68D6605A">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17"/>
              <w:jc w:val="left"/>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单个项目服务费用根据山东省招标代理服务收费指导意见（鲁招协〔202</w:t>
            </w: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eastAsia="zh-CN"/>
              </w:rPr>
              <w:t>〕13号）30 %计算代理费，招标代理服务费用按上述文件计算不足3000元的按3000元计算。</w:t>
            </w:r>
          </w:p>
          <w:p w14:paraId="37BBB4A1">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17"/>
              <w:jc w:val="left"/>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1、单个项目预算金额在1000万元以下的，招标代理费包含招标文件编制、招标控制价（工程量清单）编制及开评标全过程费用；</w:t>
            </w:r>
          </w:p>
          <w:p w14:paraId="3F3912DD">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17"/>
              <w:jc w:val="left"/>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单个项目预算金额在1000万元及以上的，招标代理费包含招标文件编制及开评标全过程费用，招标控制价（工程量清单）编制另行收费，收费标准参照鲁价费发〔2007〕205号《山东省建设工程工程量清单编制等计价项目造价咨询服务收费标准》30 %计算。</w:t>
            </w:r>
          </w:p>
        </w:tc>
      </w:tr>
      <w:tr w14:paraId="45768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0" w:hRule="atLeast"/>
          <w:jc w:val="center"/>
        </w:trPr>
        <w:tc>
          <w:tcPr>
            <w:tcW w:w="1564" w:type="dxa"/>
            <w:vAlign w:val="center"/>
          </w:tcPr>
          <w:p w14:paraId="5B90ED88">
            <w:pPr>
              <w:pStyle w:val="19"/>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项目负责人</w:t>
            </w:r>
          </w:p>
        </w:tc>
        <w:tc>
          <w:tcPr>
            <w:tcW w:w="7295" w:type="dxa"/>
            <w:vAlign w:val="center"/>
          </w:tcPr>
          <w:p w14:paraId="0BEDA78D">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14" w:firstLine="460"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5"/>
                <w:sz w:val="24"/>
                <w:szCs w:val="24"/>
                <w:lang w:eastAsia="zh-CN"/>
              </w:rPr>
              <w:t>姓名：</w:t>
            </w:r>
          </w:p>
          <w:p w14:paraId="642B4FB8">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18" w:firstLine="472"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职称：</w:t>
            </w:r>
          </w:p>
        </w:tc>
      </w:tr>
      <w:tr w14:paraId="0B8D7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jc w:val="center"/>
        </w:trPr>
        <w:tc>
          <w:tcPr>
            <w:tcW w:w="1564" w:type="dxa"/>
            <w:vAlign w:val="center"/>
          </w:tcPr>
          <w:p w14:paraId="7307D8A7">
            <w:pPr>
              <w:pStyle w:val="19"/>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框架协议期限</w:t>
            </w:r>
          </w:p>
        </w:tc>
        <w:tc>
          <w:tcPr>
            <w:tcW w:w="7295" w:type="dxa"/>
            <w:vAlign w:val="center"/>
          </w:tcPr>
          <w:p w14:paraId="4C05F009">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rPr>
            </w:pPr>
          </w:p>
        </w:tc>
      </w:tr>
      <w:tr w14:paraId="42855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1564" w:type="dxa"/>
            <w:vAlign w:val="center"/>
          </w:tcPr>
          <w:p w14:paraId="44960EA7">
            <w:pPr>
              <w:pStyle w:val="19"/>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质量要求</w:t>
            </w:r>
          </w:p>
        </w:tc>
        <w:tc>
          <w:tcPr>
            <w:tcW w:w="7295" w:type="dxa"/>
            <w:vAlign w:val="center"/>
          </w:tcPr>
          <w:p w14:paraId="44132BEF">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rPr>
            </w:pPr>
          </w:p>
        </w:tc>
      </w:tr>
      <w:tr w14:paraId="4497B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jc w:val="center"/>
        </w:trPr>
        <w:tc>
          <w:tcPr>
            <w:tcW w:w="1564" w:type="dxa"/>
            <w:vAlign w:val="center"/>
          </w:tcPr>
          <w:p w14:paraId="1A193B68">
            <w:pPr>
              <w:pStyle w:val="19"/>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对征集文件的响应程度</w:t>
            </w:r>
          </w:p>
        </w:tc>
        <w:tc>
          <w:tcPr>
            <w:tcW w:w="7295" w:type="dxa"/>
            <w:vAlign w:val="center"/>
          </w:tcPr>
          <w:p w14:paraId="3898CFE4">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4"/>
                <w:szCs w:val="24"/>
                <w:lang w:eastAsia="zh-CN"/>
              </w:rPr>
            </w:pPr>
          </w:p>
        </w:tc>
      </w:tr>
    </w:tbl>
    <w:p w14:paraId="52863B11">
      <w:pPr>
        <w:pStyle w:val="4"/>
        <w:spacing w:line="281" w:lineRule="auto"/>
        <w:rPr>
          <w:rFonts w:hint="eastAsia" w:ascii="宋体" w:hAnsi="宋体" w:eastAsia="宋体" w:cs="宋体"/>
          <w:lang w:eastAsia="zh-CN"/>
        </w:rPr>
      </w:pPr>
    </w:p>
    <w:p w14:paraId="6E5A267B">
      <w:pPr>
        <w:spacing w:before="78" w:line="221" w:lineRule="auto"/>
        <w:ind w:left="67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供应商名称（公章</w:t>
      </w:r>
      <w:r>
        <w:rPr>
          <w:rFonts w:hint="eastAsia" w:ascii="宋体" w:hAnsi="宋体" w:eastAsia="宋体" w:cs="宋体"/>
          <w:spacing w:val="1"/>
          <w:sz w:val="24"/>
          <w:szCs w:val="24"/>
          <w:lang w:eastAsia="zh-CN"/>
        </w:rPr>
        <w:t>）：</w:t>
      </w:r>
    </w:p>
    <w:p w14:paraId="24D2282D">
      <w:pPr>
        <w:spacing w:before="119" w:line="220" w:lineRule="auto"/>
        <w:ind w:left="677"/>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法定代表人或授权代表签字（盖章或签字</w:t>
      </w:r>
      <w:r>
        <w:rPr>
          <w:rFonts w:hint="eastAsia" w:ascii="宋体" w:hAnsi="宋体" w:eastAsia="宋体" w:cs="宋体"/>
          <w:spacing w:val="7"/>
          <w:sz w:val="24"/>
          <w:szCs w:val="24"/>
          <w:lang w:eastAsia="zh-CN"/>
        </w:rPr>
        <w:t>）：</w:t>
      </w:r>
    </w:p>
    <w:p w14:paraId="4A3DE0FB">
      <w:pPr>
        <w:spacing w:before="78" w:line="222" w:lineRule="auto"/>
        <w:ind w:left="8515"/>
        <w:rPr>
          <w:rFonts w:hint="eastAsia" w:ascii="宋体" w:hAnsi="宋体" w:eastAsia="宋体" w:cs="宋体"/>
          <w:spacing w:val="-16"/>
          <w:sz w:val="24"/>
          <w:szCs w:val="24"/>
          <w:lang w:eastAsia="zh-CN"/>
        </w:rPr>
      </w:pPr>
    </w:p>
    <w:p w14:paraId="7B772CBA">
      <w:pPr>
        <w:spacing w:before="78" w:line="222" w:lineRule="auto"/>
        <w:ind w:left="8515"/>
        <w:rPr>
          <w:rFonts w:hint="eastAsia" w:ascii="宋体" w:hAnsi="宋体" w:eastAsia="宋体" w:cs="宋体"/>
          <w:sz w:val="24"/>
          <w:szCs w:val="24"/>
          <w:lang w:eastAsia="zh-CN"/>
        </w:rPr>
      </w:pPr>
      <w:r>
        <w:rPr>
          <w:rFonts w:hint="eastAsia" w:ascii="宋体" w:hAnsi="宋体" w:eastAsia="宋体" w:cs="宋体"/>
          <w:spacing w:val="-16"/>
          <w:sz w:val="24"/>
          <w:szCs w:val="24"/>
          <w:lang w:eastAsia="zh-CN"/>
        </w:rPr>
        <w:t>年</w:t>
      </w:r>
      <w:r>
        <w:rPr>
          <w:rFonts w:hint="eastAsia" w:ascii="宋体" w:hAnsi="宋体" w:eastAsia="宋体" w:cs="宋体"/>
          <w:spacing w:val="-16"/>
          <w:sz w:val="24"/>
          <w:szCs w:val="24"/>
          <w:lang w:val="en-US" w:eastAsia="zh-CN"/>
        </w:rPr>
        <w:t xml:space="preserve"> </w:t>
      </w:r>
      <w:r>
        <w:rPr>
          <w:rFonts w:hint="eastAsia" w:ascii="宋体" w:hAnsi="宋体" w:eastAsia="宋体" w:cs="宋体"/>
          <w:spacing w:val="27"/>
          <w:sz w:val="24"/>
          <w:szCs w:val="24"/>
          <w:lang w:eastAsia="zh-CN"/>
        </w:rPr>
        <w:t xml:space="preserve"> </w:t>
      </w:r>
      <w:r>
        <w:rPr>
          <w:rFonts w:hint="eastAsia" w:ascii="宋体" w:hAnsi="宋体" w:eastAsia="宋体" w:cs="宋体"/>
          <w:spacing w:val="-16"/>
          <w:sz w:val="24"/>
          <w:szCs w:val="24"/>
          <w:lang w:eastAsia="zh-CN"/>
        </w:rPr>
        <w:t>月</w:t>
      </w:r>
      <w:r>
        <w:rPr>
          <w:rFonts w:hint="eastAsia" w:ascii="宋体" w:hAnsi="宋体" w:eastAsia="宋体" w:cs="宋体"/>
          <w:spacing w:val="66"/>
          <w:sz w:val="24"/>
          <w:szCs w:val="24"/>
          <w:lang w:eastAsia="zh-CN"/>
        </w:rPr>
        <w:t xml:space="preserve"> </w:t>
      </w:r>
      <w:r>
        <w:rPr>
          <w:rFonts w:hint="eastAsia" w:ascii="宋体" w:hAnsi="宋体" w:eastAsia="宋体" w:cs="宋体"/>
          <w:spacing w:val="-16"/>
          <w:sz w:val="24"/>
          <w:szCs w:val="24"/>
          <w:lang w:eastAsia="zh-CN"/>
        </w:rPr>
        <w:t>日</w:t>
      </w:r>
    </w:p>
    <w:p w14:paraId="746FD194">
      <w:pPr>
        <w:spacing w:line="222" w:lineRule="auto"/>
        <w:rPr>
          <w:rFonts w:hint="eastAsia" w:ascii="宋体" w:hAnsi="宋体" w:eastAsia="宋体" w:cs="宋体"/>
          <w:sz w:val="24"/>
          <w:szCs w:val="24"/>
          <w:lang w:eastAsia="zh-CN"/>
        </w:rPr>
        <w:sectPr>
          <w:pgSz w:w="11922" w:h="16839"/>
          <w:pgMar w:top="1134" w:right="1134" w:bottom="1134" w:left="1134" w:header="1134" w:footer="1134" w:gutter="0"/>
          <w:cols w:space="720" w:num="1"/>
          <w:docGrid w:linePitch="286" w:charSpace="0"/>
        </w:sectPr>
      </w:pPr>
    </w:p>
    <w:p w14:paraId="32EDF4DD">
      <w:pPr>
        <w:spacing w:before="88" w:line="227" w:lineRule="auto"/>
        <w:jc w:val="center"/>
        <w:outlineLvl w:val="1"/>
        <w:rPr>
          <w:rFonts w:hint="eastAsia" w:ascii="宋体" w:hAnsi="宋体" w:eastAsia="宋体" w:cs="宋体"/>
          <w:sz w:val="31"/>
          <w:szCs w:val="31"/>
          <w:lang w:eastAsia="zh-CN"/>
        </w:rPr>
      </w:pPr>
      <w:r>
        <w:rPr>
          <w:rFonts w:hint="eastAsia" w:ascii="宋体" w:hAnsi="宋体" w:eastAsia="宋体" w:cs="宋体"/>
          <w:spacing w:val="6"/>
          <w:sz w:val="31"/>
          <w:szCs w:val="31"/>
          <w:lang w:eastAsia="zh-CN"/>
          <w14:textOutline w14:w="5740" w14:cap="sq" w14:cmpd="sng" w14:algn="ctr">
            <w14:solidFill>
              <w14:srgbClr w14:val="000000"/>
            </w14:solidFill>
            <w14:prstDash w14:val="solid"/>
            <w14:bevel/>
          </w14:textOutline>
        </w:rPr>
        <w:t>1.3</w:t>
      </w:r>
      <w:r>
        <w:rPr>
          <w:rFonts w:hint="eastAsia" w:ascii="宋体" w:hAnsi="宋体" w:eastAsia="宋体" w:cs="宋体"/>
          <w:spacing w:val="-41"/>
          <w:sz w:val="31"/>
          <w:szCs w:val="31"/>
          <w:lang w:eastAsia="zh-CN"/>
        </w:rPr>
        <w:t xml:space="preserve"> </w:t>
      </w:r>
      <w:r>
        <w:rPr>
          <w:rFonts w:hint="eastAsia" w:ascii="宋体" w:hAnsi="宋体" w:eastAsia="宋体" w:cs="宋体"/>
          <w:spacing w:val="6"/>
          <w:sz w:val="31"/>
          <w:szCs w:val="31"/>
          <w:lang w:eastAsia="zh-CN"/>
          <w14:textOutline w14:w="5791" w14:cap="sq" w14:cmpd="sng" w14:algn="ctr">
            <w14:solidFill>
              <w14:srgbClr w14:val="000000"/>
            </w14:solidFill>
            <w14:prstDash w14:val="solid"/>
            <w14:bevel/>
          </w14:textOutline>
        </w:rPr>
        <w:t>供应商认为需要提交的其他文件</w:t>
      </w:r>
    </w:p>
    <w:p w14:paraId="2E88022E">
      <w:pPr>
        <w:spacing w:line="227" w:lineRule="auto"/>
        <w:rPr>
          <w:rFonts w:hint="eastAsia" w:ascii="宋体" w:hAnsi="宋体" w:eastAsia="宋体" w:cs="宋体"/>
          <w:sz w:val="31"/>
          <w:szCs w:val="31"/>
          <w:lang w:eastAsia="zh-CN"/>
        </w:rPr>
        <w:sectPr>
          <w:pgSz w:w="11922" w:h="16839"/>
          <w:pgMar w:top="1134" w:right="1134" w:bottom="1134" w:left="1134" w:header="1134" w:footer="1134" w:gutter="0"/>
          <w:cols w:space="720" w:num="1"/>
          <w:docGrid w:linePitch="286" w:charSpace="0"/>
        </w:sectPr>
      </w:pPr>
    </w:p>
    <w:p w14:paraId="0C4C52FD">
      <w:pPr>
        <w:spacing w:before="73" w:line="226" w:lineRule="auto"/>
        <w:jc w:val="center"/>
        <w:outlineLvl w:val="1"/>
        <w:rPr>
          <w:rFonts w:hint="eastAsia" w:ascii="宋体" w:hAnsi="宋体" w:eastAsia="宋体" w:cs="宋体"/>
          <w:sz w:val="35"/>
          <w:szCs w:val="35"/>
          <w:lang w:eastAsia="zh-CN"/>
        </w:rPr>
      </w:pPr>
      <w:r>
        <w:rPr>
          <w:rFonts w:hint="eastAsia" w:ascii="宋体" w:hAnsi="宋体" w:eastAsia="宋体" w:cs="宋体"/>
          <w:spacing w:val="10"/>
          <w:sz w:val="35"/>
          <w:szCs w:val="35"/>
          <w:lang w:eastAsia="zh-CN"/>
          <w14:textOutline w14:w="6540" w14:cap="sq" w14:cmpd="sng" w14:algn="ctr">
            <w14:solidFill>
              <w14:srgbClr w14:val="000000"/>
            </w14:solidFill>
            <w14:prstDash w14:val="solid"/>
            <w14:bevel/>
          </w14:textOutline>
        </w:rPr>
        <w:t>第二章</w:t>
      </w:r>
      <w:r>
        <w:rPr>
          <w:rFonts w:hint="eastAsia" w:ascii="宋体" w:hAnsi="宋体" w:eastAsia="宋体" w:cs="宋体"/>
          <w:spacing w:val="10"/>
          <w:sz w:val="35"/>
          <w:szCs w:val="35"/>
          <w:lang w:eastAsia="zh-CN"/>
        </w:rPr>
        <w:t xml:space="preserve"> </w:t>
      </w:r>
      <w:r>
        <w:rPr>
          <w:rFonts w:hint="eastAsia" w:ascii="宋体" w:hAnsi="宋体" w:eastAsia="宋体" w:cs="宋体"/>
          <w:spacing w:val="10"/>
          <w:sz w:val="35"/>
          <w:szCs w:val="35"/>
          <w:lang w:eastAsia="zh-CN"/>
          <w14:textOutline w14:w="6540" w14:cap="sq" w14:cmpd="sng" w14:algn="ctr">
            <w14:solidFill>
              <w14:srgbClr w14:val="000000"/>
            </w14:solidFill>
            <w14:prstDash w14:val="solid"/>
            <w14:bevel/>
          </w14:textOutline>
        </w:rPr>
        <w:t>供应商简介及资质（资格、资质证明文</w:t>
      </w:r>
      <w:r>
        <w:rPr>
          <w:rFonts w:hint="eastAsia" w:ascii="宋体" w:hAnsi="宋体" w:eastAsia="宋体" w:cs="宋体"/>
          <w:spacing w:val="9"/>
          <w:sz w:val="35"/>
          <w:szCs w:val="35"/>
          <w:lang w:eastAsia="zh-CN"/>
          <w14:textOutline w14:w="6540" w14:cap="sq" w14:cmpd="sng" w14:algn="ctr">
            <w14:solidFill>
              <w14:srgbClr w14:val="000000"/>
            </w14:solidFill>
            <w14:prstDash w14:val="solid"/>
            <w14:bevel/>
          </w14:textOutline>
        </w:rPr>
        <w:t>件）</w:t>
      </w:r>
    </w:p>
    <w:p w14:paraId="309ACF21">
      <w:pPr>
        <w:spacing w:before="181" w:line="220" w:lineRule="auto"/>
        <w:jc w:val="center"/>
        <w:rPr>
          <w:rFonts w:hint="eastAsia" w:ascii="宋体" w:hAnsi="宋体" w:eastAsia="宋体" w:cs="宋体"/>
          <w:sz w:val="28"/>
          <w:szCs w:val="28"/>
          <w:lang w:eastAsia="zh-CN"/>
        </w:rPr>
        <w:sectPr>
          <w:pgSz w:w="11922" w:h="16839"/>
          <w:pgMar w:top="1134" w:right="1134" w:bottom="1134" w:left="1134" w:header="1134" w:footer="1134" w:gutter="0"/>
          <w:cols w:space="720" w:num="1"/>
          <w:docGrid w:linePitch="286" w:charSpace="0"/>
        </w:sectPr>
      </w:pPr>
      <w:r>
        <w:rPr>
          <w:rFonts w:hint="eastAsia" w:ascii="宋体" w:hAnsi="宋体" w:eastAsia="宋体" w:cs="宋体"/>
          <w:sz w:val="28"/>
          <w:szCs w:val="28"/>
          <w:lang w:eastAsia="zh-CN"/>
          <w14:textOutline w14:w="5105" w14:cap="sq" w14:cmpd="sng" w14:algn="ctr">
            <w14:solidFill>
              <w14:srgbClr w14:val="000000"/>
            </w14:solidFill>
            <w14:prstDash w14:val="solid"/>
            <w14:bevel/>
          </w14:textOutline>
        </w:rPr>
        <w:t>2.1</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14:textOutline w14:w="5105" w14:cap="sq" w14:cmpd="sng" w14:algn="ctr">
            <w14:solidFill>
              <w14:srgbClr w14:val="000000"/>
            </w14:solidFill>
            <w14:prstDash w14:val="solid"/>
            <w14:bevel/>
          </w14:textOutline>
        </w:rPr>
        <w:t>营业执照</w:t>
      </w:r>
    </w:p>
    <w:p w14:paraId="639D4B78">
      <w:pPr>
        <w:spacing w:before="182" w:line="222" w:lineRule="auto"/>
        <w:jc w:val="center"/>
        <w:outlineLvl w:val="1"/>
        <w:rPr>
          <w:rFonts w:hint="eastAsia" w:ascii="宋体" w:hAnsi="宋体" w:eastAsia="宋体" w:cs="宋体"/>
          <w:sz w:val="28"/>
          <w:szCs w:val="28"/>
          <w:lang w:eastAsia="zh-CN"/>
        </w:rPr>
      </w:pPr>
      <w:r>
        <w:rPr>
          <w:rFonts w:hint="eastAsia" w:ascii="宋体" w:hAnsi="宋体" w:eastAsia="宋体" w:cs="宋体"/>
          <w:sz w:val="28"/>
          <w:szCs w:val="28"/>
          <w:lang w:eastAsia="zh-CN"/>
          <w14:textOutline w14:w="5105" w14:cap="sq" w14:cmpd="sng" w14:algn="ctr">
            <w14:solidFill>
              <w14:srgbClr w14:val="000000"/>
            </w14:solidFill>
            <w14:prstDash w14:val="solid"/>
            <w14:bevel/>
          </w14:textOutline>
        </w:rPr>
        <w:t>2.2</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14:textOutline w14:w="5105" w14:cap="sq" w14:cmpd="sng" w14:algn="ctr">
            <w14:solidFill>
              <w14:srgbClr w14:val="000000"/>
            </w14:solidFill>
            <w14:prstDash w14:val="solid"/>
            <w14:bevel/>
          </w14:textOutline>
        </w:rPr>
        <w:t>供应商缴纳税收和社会保障资金等证明告知承诺书</w:t>
      </w:r>
    </w:p>
    <w:p w14:paraId="69703E8B">
      <w:pPr>
        <w:pStyle w:val="4"/>
        <w:spacing w:line="272" w:lineRule="auto"/>
        <w:rPr>
          <w:rFonts w:hint="eastAsia" w:ascii="宋体" w:hAnsi="宋体" w:eastAsia="宋体" w:cs="宋体"/>
          <w:lang w:eastAsia="zh-CN"/>
        </w:rPr>
      </w:pPr>
    </w:p>
    <w:p w14:paraId="62B4D85D">
      <w:pPr>
        <w:pStyle w:val="4"/>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lang w:eastAsia="zh-CN"/>
        </w:rPr>
      </w:pPr>
    </w:p>
    <w:p w14:paraId="7DBCF18F">
      <w:pPr>
        <w:pStyle w:val="4"/>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lang w:eastAsia="zh-CN"/>
        </w:rPr>
      </w:pPr>
    </w:p>
    <w:p w14:paraId="2E8F6BD9">
      <w:pPr>
        <w:keepNext w:val="0"/>
        <w:keepLines w:val="0"/>
        <w:pageBreakBefore w:val="0"/>
        <w:widowControl/>
        <w:kinsoku w:val="0"/>
        <w:wordWrap/>
        <w:overflowPunct/>
        <w:topLinePunct w:val="0"/>
        <w:autoSpaceDE w:val="0"/>
        <w:autoSpaceDN w:val="0"/>
        <w:bidi w:val="0"/>
        <w:adjustRightInd w:val="0"/>
        <w:snapToGrid w:val="0"/>
        <w:spacing w:line="500" w:lineRule="exact"/>
        <w:ind w:left="124"/>
        <w:textAlignment w:val="baseline"/>
        <w:outlineLvl w:val="1"/>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本公司郑重承诺：</w:t>
      </w:r>
    </w:p>
    <w:p w14:paraId="75110065">
      <w:pPr>
        <w:keepNext w:val="0"/>
        <w:keepLines w:val="0"/>
        <w:pageBreakBefore w:val="0"/>
        <w:widowControl/>
        <w:kinsoku w:val="0"/>
        <w:wordWrap/>
        <w:overflowPunct/>
        <w:topLinePunct w:val="0"/>
        <w:autoSpaceDE w:val="0"/>
        <w:autoSpaceDN w:val="0"/>
        <w:bidi w:val="0"/>
        <w:adjustRightInd w:val="0"/>
        <w:snapToGrid w:val="0"/>
        <w:spacing w:line="500" w:lineRule="exact"/>
        <w:ind w:left="134"/>
        <w:textAlignment w:val="baseline"/>
        <w:outlineLvl w:val="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1.承诺具有良好的商业信誉和健全的财务</w:t>
      </w:r>
      <w:r>
        <w:rPr>
          <w:rFonts w:hint="eastAsia" w:ascii="宋体" w:hAnsi="宋体" w:eastAsia="宋体" w:cs="宋体"/>
          <w:spacing w:val="-2"/>
          <w:sz w:val="24"/>
          <w:szCs w:val="24"/>
          <w:lang w:eastAsia="zh-CN"/>
        </w:rPr>
        <w:t>会计制度；</w:t>
      </w:r>
    </w:p>
    <w:p w14:paraId="586B6140">
      <w:pPr>
        <w:keepNext w:val="0"/>
        <w:keepLines w:val="0"/>
        <w:pageBreakBefore w:val="0"/>
        <w:widowControl/>
        <w:kinsoku w:val="0"/>
        <w:wordWrap/>
        <w:overflowPunct/>
        <w:topLinePunct w:val="0"/>
        <w:autoSpaceDE w:val="0"/>
        <w:autoSpaceDN w:val="0"/>
        <w:bidi w:val="0"/>
        <w:adjustRightInd w:val="0"/>
        <w:snapToGrid w:val="0"/>
        <w:spacing w:line="500" w:lineRule="exact"/>
        <w:ind w:left="119"/>
        <w:textAlignment w:val="baseline"/>
        <w:outlineLvl w:val="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2.承诺依法缴纳税收和社会保障资金的良好记录；</w:t>
      </w:r>
    </w:p>
    <w:p w14:paraId="2DCADA2A">
      <w:pPr>
        <w:keepNext w:val="0"/>
        <w:keepLines w:val="0"/>
        <w:pageBreakBefore w:val="0"/>
        <w:widowControl/>
        <w:kinsoku w:val="0"/>
        <w:wordWrap/>
        <w:overflowPunct/>
        <w:topLinePunct w:val="0"/>
        <w:autoSpaceDE w:val="0"/>
        <w:autoSpaceDN w:val="0"/>
        <w:bidi w:val="0"/>
        <w:adjustRightInd w:val="0"/>
        <w:snapToGrid w:val="0"/>
        <w:spacing w:line="500" w:lineRule="exact"/>
        <w:ind w:left="121"/>
        <w:textAlignment w:val="baseline"/>
        <w:outlineLvl w:val="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3.承诺参加政府采购活动前三年内，在经营活动中没有重大违法记录。</w:t>
      </w:r>
    </w:p>
    <w:p w14:paraId="21354528">
      <w:pPr>
        <w:keepNext w:val="0"/>
        <w:keepLines w:val="0"/>
        <w:pageBreakBefore w:val="0"/>
        <w:widowControl/>
        <w:kinsoku w:val="0"/>
        <w:wordWrap/>
        <w:overflowPunct/>
        <w:topLinePunct w:val="0"/>
        <w:autoSpaceDE w:val="0"/>
        <w:autoSpaceDN w:val="0"/>
        <w:bidi w:val="0"/>
        <w:adjustRightInd w:val="0"/>
        <w:snapToGrid w:val="0"/>
        <w:spacing w:line="500" w:lineRule="exact"/>
        <w:jc w:val="right"/>
        <w:textAlignment w:val="baseline"/>
        <w:outlineLvl w:val="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我公司对上述承诺内容的真实性负责，如虚假承诺，将依法承担相应法律责任。</w:t>
      </w:r>
    </w:p>
    <w:p w14:paraId="24804095">
      <w:pPr>
        <w:pStyle w:val="4"/>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lang w:eastAsia="zh-CN"/>
        </w:rPr>
      </w:pPr>
    </w:p>
    <w:p w14:paraId="1AEAF6C6">
      <w:pPr>
        <w:pStyle w:val="4"/>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lang w:eastAsia="zh-CN"/>
        </w:rPr>
      </w:pPr>
    </w:p>
    <w:p w14:paraId="3FE86726">
      <w:pPr>
        <w:pStyle w:val="4"/>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lang w:eastAsia="zh-CN"/>
        </w:rPr>
      </w:pPr>
    </w:p>
    <w:p w14:paraId="78B51013">
      <w:pPr>
        <w:pStyle w:val="4"/>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lang w:eastAsia="zh-CN"/>
        </w:rPr>
      </w:pPr>
    </w:p>
    <w:p w14:paraId="42E9698E">
      <w:pPr>
        <w:pStyle w:val="4"/>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lang w:eastAsia="zh-CN"/>
        </w:rPr>
      </w:pPr>
    </w:p>
    <w:p w14:paraId="04D5755D">
      <w:pPr>
        <w:keepNext w:val="0"/>
        <w:keepLines w:val="0"/>
        <w:pageBreakBefore w:val="0"/>
        <w:widowControl/>
        <w:kinsoku w:val="0"/>
        <w:wordWrap/>
        <w:overflowPunct/>
        <w:topLinePunct w:val="0"/>
        <w:autoSpaceDE w:val="0"/>
        <w:autoSpaceDN w:val="0"/>
        <w:bidi w:val="0"/>
        <w:adjustRightInd w:val="0"/>
        <w:snapToGrid w:val="0"/>
        <w:spacing w:line="500" w:lineRule="exact"/>
        <w:ind w:left="4215"/>
        <w:textAlignment w:val="baseline"/>
        <w:outlineLvl w:val="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承诺单位（公章</w:t>
      </w:r>
      <w:r>
        <w:rPr>
          <w:rFonts w:hint="eastAsia" w:ascii="宋体" w:hAnsi="宋体" w:eastAsia="宋体" w:cs="宋体"/>
          <w:sz w:val="24"/>
          <w:szCs w:val="24"/>
          <w:lang w:eastAsia="zh-CN"/>
        </w:rPr>
        <w:t>）：</w:t>
      </w:r>
    </w:p>
    <w:p w14:paraId="054EF74B">
      <w:pPr>
        <w:keepNext w:val="0"/>
        <w:keepLines w:val="0"/>
        <w:pageBreakBefore w:val="0"/>
        <w:widowControl/>
        <w:kinsoku w:val="0"/>
        <w:wordWrap/>
        <w:overflowPunct/>
        <w:topLinePunct w:val="0"/>
        <w:autoSpaceDE w:val="0"/>
        <w:autoSpaceDN w:val="0"/>
        <w:bidi w:val="0"/>
        <w:adjustRightInd w:val="0"/>
        <w:snapToGrid w:val="0"/>
        <w:spacing w:line="500" w:lineRule="exact"/>
        <w:ind w:left="131"/>
        <w:textAlignment w:val="baseline"/>
        <w:outlineLvl w:val="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法定代表人（非法人组织的负责人）或其授权代表（盖章或签字</w:t>
      </w:r>
      <w:r>
        <w:rPr>
          <w:rFonts w:hint="eastAsia" w:ascii="宋体" w:hAnsi="宋体" w:eastAsia="宋体" w:cs="宋体"/>
          <w:spacing w:val="2"/>
          <w:sz w:val="24"/>
          <w:szCs w:val="24"/>
          <w:lang w:eastAsia="zh-CN"/>
        </w:rPr>
        <w:t>）：</w:t>
      </w:r>
    </w:p>
    <w:p w14:paraId="2A5C4D20">
      <w:pPr>
        <w:keepNext w:val="0"/>
        <w:keepLines w:val="0"/>
        <w:pageBreakBefore w:val="0"/>
        <w:widowControl/>
        <w:kinsoku w:val="0"/>
        <w:wordWrap/>
        <w:overflowPunct/>
        <w:topLinePunct w:val="0"/>
        <w:autoSpaceDE w:val="0"/>
        <w:autoSpaceDN w:val="0"/>
        <w:bidi w:val="0"/>
        <w:adjustRightInd w:val="0"/>
        <w:snapToGrid w:val="0"/>
        <w:spacing w:line="500" w:lineRule="exact"/>
        <w:ind w:left="6020"/>
        <w:textAlignment w:val="baseline"/>
        <w:outlineLvl w:val="1"/>
        <w:rPr>
          <w:rFonts w:hint="eastAsia" w:ascii="宋体" w:hAnsi="宋体" w:eastAsia="宋体" w:cs="宋体"/>
          <w:sz w:val="24"/>
          <w:szCs w:val="24"/>
          <w:lang w:eastAsia="zh-CN"/>
        </w:rPr>
        <w:sectPr>
          <w:pgSz w:w="11922" w:h="16839"/>
          <w:pgMar w:top="1134" w:right="1134" w:bottom="1134" w:left="1134" w:header="1134" w:footer="1134" w:gutter="0"/>
          <w:cols w:space="720" w:num="1"/>
          <w:docGrid w:linePitch="286" w:charSpace="0"/>
        </w:sectPr>
      </w:pPr>
      <w:r>
        <w:rPr>
          <w:rFonts w:hint="eastAsia" w:ascii="宋体" w:hAnsi="宋体" w:eastAsia="宋体" w:cs="宋体"/>
          <w:spacing w:val="-16"/>
          <w:sz w:val="24"/>
          <w:szCs w:val="24"/>
          <w:lang w:eastAsia="zh-CN"/>
        </w:rPr>
        <w:t>年</w:t>
      </w:r>
      <w:r>
        <w:rPr>
          <w:rFonts w:hint="eastAsia" w:ascii="宋体" w:hAnsi="宋体" w:eastAsia="宋体" w:cs="宋体"/>
          <w:spacing w:val="6"/>
          <w:sz w:val="24"/>
          <w:szCs w:val="24"/>
          <w:lang w:eastAsia="zh-CN"/>
        </w:rPr>
        <w:t xml:space="preserve">    </w:t>
      </w:r>
      <w:r>
        <w:rPr>
          <w:rFonts w:hint="eastAsia" w:ascii="宋体" w:hAnsi="宋体" w:eastAsia="宋体" w:cs="宋体"/>
          <w:spacing w:val="-16"/>
          <w:sz w:val="24"/>
          <w:szCs w:val="24"/>
          <w:lang w:eastAsia="zh-CN"/>
        </w:rPr>
        <w:t>月</w:t>
      </w:r>
      <w:r>
        <w:rPr>
          <w:rFonts w:hint="eastAsia" w:ascii="宋体" w:hAnsi="宋体" w:eastAsia="宋体" w:cs="宋体"/>
          <w:spacing w:val="17"/>
          <w:sz w:val="24"/>
          <w:szCs w:val="24"/>
          <w:lang w:eastAsia="zh-CN"/>
        </w:rPr>
        <w:t xml:space="preserve">    </w:t>
      </w:r>
      <w:r>
        <w:rPr>
          <w:rFonts w:hint="eastAsia" w:ascii="宋体" w:hAnsi="宋体" w:eastAsia="宋体" w:cs="宋体"/>
          <w:spacing w:val="-16"/>
          <w:sz w:val="24"/>
          <w:szCs w:val="24"/>
          <w:lang w:eastAsia="zh-CN"/>
        </w:rPr>
        <w:t>日</w:t>
      </w:r>
    </w:p>
    <w:p w14:paraId="22E92256">
      <w:pPr>
        <w:rPr>
          <w:rFonts w:hint="eastAsia" w:ascii="宋体" w:hAnsi="宋体" w:eastAsia="宋体" w:cs="宋体"/>
          <w:sz w:val="28"/>
          <w:szCs w:val="28"/>
          <w:lang w:eastAsia="zh-CN"/>
          <w14:textOutline w14:w="5105" w14:cap="sq" w14:cmpd="sng" w14:algn="ctr">
            <w14:solidFill>
              <w14:srgbClr w14:val="000000"/>
            </w14:solidFill>
            <w14:prstDash w14:val="solid"/>
            <w14:bevel/>
          </w14:textOutline>
        </w:rPr>
      </w:pPr>
    </w:p>
    <w:p w14:paraId="253BD030">
      <w:pPr>
        <w:spacing w:before="73" w:line="226" w:lineRule="auto"/>
        <w:jc w:val="center"/>
        <w:outlineLvl w:val="0"/>
        <w:rPr>
          <w:rFonts w:hint="eastAsia" w:ascii="宋体" w:hAnsi="宋体" w:eastAsia="宋体" w:cs="宋体"/>
          <w:sz w:val="35"/>
          <w:szCs w:val="35"/>
          <w:lang w:eastAsia="zh-CN"/>
        </w:rPr>
      </w:pPr>
      <w:bookmarkStart w:id="15" w:name="_Toc23066"/>
      <w:bookmarkStart w:id="16" w:name="_Toc22756"/>
      <w:r>
        <w:rPr>
          <w:rFonts w:hint="eastAsia" w:ascii="宋体" w:hAnsi="宋体" w:eastAsia="宋体" w:cs="宋体"/>
          <w:spacing w:val="9"/>
          <w:sz w:val="35"/>
          <w:szCs w:val="35"/>
          <w:lang w:eastAsia="zh-CN"/>
          <w14:textOutline w14:w="6540" w14:cap="sq" w14:cmpd="sng" w14:algn="ctr">
            <w14:solidFill>
              <w14:srgbClr w14:val="000000"/>
            </w14:solidFill>
            <w14:prstDash w14:val="solid"/>
            <w14:bevel/>
          </w14:textOutline>
        </w:rPr>
        <w:t>第三章</w:t>
      </w:r>
      <w:r>
        <w:rPr>
          <w:rFonts w:hint="eastAsia" w:ascii="宋体" w:hAnsi="宋体" w:eastAsia="宋体" w:cs="宋体"/>
          <w:spacing w:val="9"/>
          <w:sz w:val="35"/>
          <w:szCs w:val="35"/>
          <w:lang w:eastAsia="zh-CN"/>
        </w:rPr>
        <w:t xml:space="preserve"> </w:t>
      </w:r>
      <w:r>
        <w:rPr>
          <w:rFonts w:hint="eastAsia" w:ascii="宋体" w:hAnsi="宋体" w:eastAsia="宋体" w:cs="宋体"/>
          <w:spacing w:val="9"/>
          <w:sz w:val="35"/>
          <w:szCs w:val="35"/>
          <w:lang w:eastAsia="zh-CN"/>
          <w14:textOutline w14:w="6540" w14:cap="sq" w14:cmpd="sng" w14:algn="ctr">
            <w14:solidFill>
              <w14:srgbClr w14:val="000000"/>
            </w14:solidFill>
            <w14:prstDash w14:val="solid"/>
            <w14:bevel/>
          </w14:textOutline>
        </w:rPr>
        <w:t>技术、商务偏离</w:t>
      </w:r>
      <w:bookmarkEnd w:id="15"/>
      <w:bookmarkEnd w:id="16"/>
    </w:p>
    <w:p w14:paraId="5E417408">
      <w:pPr>
        <w:pStyle w:val="4"/>
        <w:spacing w:line="297" w:lineRule="auto"/>
        <w:rPr>
          <w:rFonts w:hint="eastAsia" w:ascii="宋体" w:hAnsi="宋体" w:eastAsia="宋体" w:cs="宋体"/>
          <w:lang w:eastAsia="zh-CN"/>
        </w:rPr>
      </w:pPr>
    </w:p>
    <w:p w14:paraId="24773CFA">
      <w:pPr>
        <w:spacing w:before="91" w:line="223" w:lineRule="auto"/>
        <w:jc w:val="center"/>
        <w:outlineLvl w:val="1"/>
        <w:rPr>
          <w:rFonts w:hint="eastAsia" w:ascii="宋体" w:hAnsi="宋体" w:eastAsia="宋体" w:cs="宋体"/>
          <w:sz w:val="28"/>
          <w:szCs w:val="28"/>
          <w:lang w:eastAsia="zh-CN"/>
        </w:rPr>
      </w:pPr>
      <w:r>
        <w:rPr>
          <w:rFonts w:hint="eastAsia" w:ascii="宋体" w:hAnsi="宋体" w:eastAsia="宋体" w:cs="宋体"/>
          <w:spacing w:val="-3"/>
          <w:sz w:val="28"/>
          <w:szCs w:val="28"/>
          <w:lang w:eastAsia="zh-CN"/>
          <w14:textOutline w14:w="5105" w14:cap="sq" w14:cmpd="sng" w14:algn="ctr">
            <w14:solidFill>
              <w14:srgbClr w14:val="000000"/>
            </w14:solidFill>
            <w14:prstDash w14:val="solid"/>
            <w14:bevel/>
          </w14:textOutline>
        </w:rPr>
        <w:t>1、技术偏离表</w:t>
      </w:r>
    </w:p>
    <w:p w14:paraId="293EDBA4">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项目名称：济宁高新社发投资集团有限公司招标代理服务机构框架协议采购项目</w:t>
      </w:r>
    </w:p>
    <w:p w14:paraId="3EFDB51F">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sz w:val="2"/>
        </w:rPr>
      </w:pPr>
    </w:p>
    <w:tbl>
      <w:tblPr>
        <w:tblStyle w:val="18"/>
        <w:tblW w:w="9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4"/>
        <w:gridCol w:w="1509"/>
        <w:gridCol w:w="2243"/>
        <w:gridCol w:w="2186"/>
        <w:gridCol w:w="1600"/>
        <w:gridCol w:w="1088"/>
      </w:tblGrid>
      <w:tr w14:paraId="14114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894" w:type="dxa"/>
            <w:vAlign w:val="center"/>
          </w:tcPr>
          <w:p w14:paraId="0FBA73F7">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r>
              <w:rPr>
                <w:rFonts w:hint="eastAsia" w:ascii="宋体" w:hAnsi="宋体" w:eastAsia="宋体" w:cs="宋体"/>
                <w:spacing w:val="-8"/>
              </w:rPr>
              <w:t>序号</w:t>
            </w:r>
          </w:p>
        </w:tc>
        <w:tc>
          <w:tcPr>
            <w:tcW w:w="1509" w:type="dxa"/>
            <w:vAlign w:val="center"/>
          </w:tcPr>
          <w:p w14:paraId="0C67D8AC">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r>
              <w:rPr>
                <w:rFonts w:hint="eastAsia" w:ascii="宋体" w:hAnsi="宋体" w:eastAsia="宋体" w:cs="宋体"/>
                <w:spacing w:val="-6"/>
                <w:lang w:eastAsia="zh-CN"/>
              </w:rPr>
              <w:t>服务</w:t>
            </w:r>
            <w:r>
              <w:rPr>
                <w:rFonts w:hint="eastAsia" w:ascii="宋体" w:hAnsi="宋体" w:eastAsia="宋体" w:cs="宋体"/>
                <w:spacing w:val="-6"/>
              </w:rPr>
              <w:t>名称</w:t>
            </w:r>
          </w:p>
        </w:tc>
        <w:tc>
          <w:tcPr>
            <w:tcW w:w="2243" w:type="dxa"/>
            <w:vAlign w:val="center"/>
          </w:tcPr>
          <w:p w14:paraId="30B28554">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lang w:eastAsia="zh-CN"/>
              </w:rPr>
            </w:pPr>
            <w:r>
              <w:rPr>
                <w:rFonts w:hint="eastAsia" w:ascii="宋体" w:hAnsi="宋体" w:eastAsia="宋体" w:cs="宋体"/>
                <w:spacing w:val="-3"/>
                <w:lang w:eastAsia="zh-CN"/>
              </w:rPr>
              <w:t>征集文件技术规范</w:t>
            </w:r>
            <w:r>
              <w:rPr>
                <w:rFonts w:hint="eastAsia" w:ascii="宋体" w:hAnsi="宋体" w:eastAsia="宋体" w:cs="宋体"/>
                <w:spacing w:val="-11"/>
                <w:lang w:eastAsia="zh-CN"/>
              </w:rPr>
              <w:t>要求</w:t>
            </w:r>
          </w:p>
        </w:tc>
        <w:tc>
          <w:tcPr>
            <w:tcW w:w="2186" w:type="dxa"/>
            <w:vAlign w:val="center"/>
          </w:tcPr>
          <w:p w14:paraId="0A2D92D9">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r>
              <w:rPr>
                <w:rFonts w:hint="eastAsia" w:ascii="宋体" w:hAnsi="宋体" w:eastAsia="宋体" w:cs="宋体"/>
                <w:spacing w:val="-4"/>
              </w:rPr>
              <w:t>响应文件对应规</w:t>
            </w:r>
            <w:r>
              <w:rPr>
                <w:rFonts w:hint="eastAsia" w:ascii="宋体" w:hAnsi="宋体" w:eastAsia="宋体" w:cs="宋体"/>
              </w:rPr>
              <w:t>范</w:t>
            </w:r>
          </w:p>
        </w:tc>
        <w:tc>
          <w:tcPr>
            <w:tcW w:w="1600" w:type="dxa"/>
            <w:vAlign w:val="center"/>
          </w:tcPr>
          <w:p w14:paraId="2DB4EF5D">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r>
              <w:rPr>
                <w:rFonts w:hint="eastAsia" w:ascii="宋体" w:hAnsi="宋体" w:eastAsia="宋体" w:cs="宋体"/>
                <w:spacing w:val="-5"/>
              </w:rPr>
              <w:t>偏差内容</w:t>
            </w:r>
          </w:p>
        </w:tc>
        <w:tc>
          <w:tcPr>
            <w:tcW w:w="1088" w:type="dxa"/>
            <w:vAlign w:val="center"/>
          </w:tcPr>
          <w:p w14:paraId="29CA46F6">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r>
              <w:rPr>
                <w:rFonts w:hint="eastAsia" w:ascii="宋体" w:hAnsi="宋体" w:eastAsia="宋体" w:cs="宋体"/>
                <w:spacing w:val="-9"/>
              </w:rPr>
              <w:t>说明</w:t>
            </w:r>
          </w:p>
        </w:tc>
      </w:tr>
      <w:tr w14:paraId="5D038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94" w:type="dxa"/>
            <w:vAlign w:val="center"/>
          </w:tcPr>
          <w:p w14:paraId="3136725B">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509" w:type="dxa"/>
            <w:vAlign w:val="center"/>
          </w:tcPr>
          <w:p w14:paraId="351118C2">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2243" w:type="dxa"/>
            <w:vAlign w:val="center"/>
          </w:tcPr>
          <w:p w14:paraId="4B9EC758">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2186" w:type="dxa"/>
            <w:vAlign w:val="center"/>
          </w:tcPr>
          <w:p w14:paraId="5E7EF341">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600" w:type="dxa"/>
            <w:vAlign w:val="center"/>
          </w:tcPr>
          <w:p w14:paraId="687503DF">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088" w:type="dxa"/>
            <w:vAlign w:val="center"/>
          </w:tcPr>
          <w:p w14:paraId="2A288407">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r>
      <w:tr w14:paraId="183CF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4" w:type="dxa"/>
            <w:vAlign w:val="center"/>
          </w:tcPr>
          <w:p w14:paraId="7DB41FE2">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509" w:type="dxa"/>
            <w:vAlign w:val="center"/>
          </w:tcPr>
          <w:p w14:paraId="042DC292">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2243" w:type="dxa"/>
            <w:vAlign w:val="center"/>
          </w:tcPr>
          <w:p w14:paraId="64F4C452">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2186" w:type="dxa"/>
            <w:vAlign w:val="center"/>
          </w:tcPr>
          <w:p w14:paraId="5E270894">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600" w:type="dxa"/>
            <w:vAlign w:val="center"/>
          </w:tcPr>
          <w:p w14:paraId="58A2220D">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088" w:type="dxa"/>
            <w:vAlign w:val="center"/>
          </w:tcPr>
          <w:p w14:paraId="2FD5E920">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r>
      <w:tr w14:paraId="427D2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94" w:type="dxa"/>
            <w:vAlign w:val="center"/>
          </w:tcPr>
          <w:p w14:paraId="58AFFF99">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509" w:type="dxa"/>
            <w:vAlign w:val="center"/>
          </w:tcPr>
          <w:p w14:paraId="37986095">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2243" w:type="dxa"/>
            <w:vAlign w:val="center"/>
          </w:tcPr>
          <w:p w14:paraId="2E3C84C1">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2186" w:type="dxa"/>
            <w:vAlign w:val="center"/>
          </w:tcPr>
          <w:p w14:paraId="1F36E018">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600" w:type="dxa"/>
            <w:vAlign w:val="center"/>
          </w:tcPr>
          <w:p w14:paraId="104D1ECE">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088" w:type="dxa"/>
            <w:vAlign w:val="center"/>
          </w:tcPr>
          <w:p w14:paraId="6A98FC44">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r>
      <w:tr w14:paraId="61383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94" w:type="dxa"/>
            <w:vAlign w:val="center"/>
          </w:tcPr>
          <w:p w14:paraId="055E007D">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509" w:type="dxa"/>
            <w:vAlign w:val="center"/>
          </w:tcPr>
          <w:p w14:paraId="26148DD0">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2243" w:type="dxa"/>
            <w:vAlign w:val="center"/>
          </w:tcPr>
          <w:p w14:paraId="0FA266E4">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2186" w:type="dxa"/>
            <w:vAlign w:val="center"/>
          </w:tcPr>
          <w:p w14:paraId="27AE9FB8">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600" w:type="dxa"/>
            <w:vAlign w:val="center"/>
          </w:tcPr>
          <w:p w14:paraId="26D88AD8">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088" w:type="dxa"/>
            <w:vAlign w:val="center"/>
          </w:tcPr>
          <w:p w14:paraId="1D651508">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r>
      <w:tr w14:paraId="225BD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94" w:type="dxa"/>
            <w:vAlign w:val="center"/>
          </w:tcPr>
          <w:p w14:paraId="50565FDF">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509" w:type="dxa"/>
            <w:vAlign w:val="center"/>
          </w:tcPr>
          <w:p w14:paraId="457BA35E">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2243" w:type="dxa"/>
            <w:vAlign w:val="center"/>
          </w:tcPr>
          <w:p w14:paraId="65F8BE46">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2186" w:type="dxa"/>
            <w:vAlign w:val="center"/>
          </w:tcPr>
          <w:p w14:paraId="0DECC5F3">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600" w:type="dxa"/>
            <w:vAlign w:val="center"/>
          </w:tcPr>
          <w:p w14:paraId="7808EF02">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088" w:type="dxa"/>
            <w:vAlign w:val="center"/>
          </w:tcPr>
          <w:p w14:paraId="536F3DA1">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r>
      <w:tr w14:paraId="464DE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4" w:type="dxa"/>
            <w:vAlign w:val="center"/>
          </w:tcPr>
          <w:p w14:paraId="4FF55EDE">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509" w:type="dxa"/>
            <w:vAlign w:val="center"/>
          </w:tcPr>
          <w:p w14:paraId="35D3FE0D">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2243" w:type="dxa"/>
            <w:vAlign w:val="center"/>
          </w:tcPr>
          <w:p w14:paraId="0B971FA1">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2186" w:type="dxa"/>
            <w:vAlign w:val="center"/>
          </w:tcPr>
          <w:p w14:paraId="7F6CEF48">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600" w:type="dxa"/>
            <w:vAlign w:val="center"/>
          </w:tcPr>
          <w:p w14:paraId="55E0EC72">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088" w:type="dxa"/>
            <w:vAlign w:val="center"/>
          </w:tcPr>
          <w:p w14:paraId="32BB714F">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r>
      <w:tr w14:paraId="05B33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4" w:type="dxa"/>
            <w:vAlign w:val="center"/>
          </w:tcPr>
          <w:p w14:paraId="3E9AB35F">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509" w:type="dxa"/>
            <w:vAlign w:val="center"/>
          </w:tcPr>
          <w:p w14:paraId="01743E15">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2243" w:type="dxa"/>
            <w:vAlign w:val="center"/>
          </w:tcPr>
          <w:p w14:paraId="7DE9DE79">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2186" w:type="dxa"/>
            <w:vAlign w:val="center"/>
          </w:tcPr>
          <w:p w14:paraId="361F9AED">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600" w:type="dxa"/>
            <w:vAlign w:val="center"/>
          </w:tcPr>
          <w:p w14:paraId="7F5514D9">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088" w:type="dxa"/>
            <w:vAlign w:val="center"/>
          </w:tcPr>
          <w:p w14:paraId="3498F70F">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r>
      <w:tr w14:paraId="047A9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4" w:type="dxa"/>
            <w:vAlign w:val="center"/>
          </w:tcPr>
          <w:p w14:paraId="014A3049">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509" w:type="dxa"/>
            <w:vAlign w:val="center"/>
          </w:tcPr>
          <w:p w14:paraId="7FC183FE">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2243" w:type="dxa"/>
            <w:vAlign w:val="center"/>
          </w:tcPr>
          <w:p w14:paraId="53819005">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2186" w:type="dxa"/>
            <w:vAlign w:val="center"/>
          </w:tcPr>
          <w:p w14:paraId="2D18EEDA">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600" w:type="dxa"/>
            <w:vAlign w:val="center"/>
          </w:tcPr>
          <w:p w14:paraId="4E14E0A1">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088" w:type="dxa"/>
            <w:vAlign w:val="center"/>
          </w:tcPr>
          <w:p w14:paraId="3412DD1F">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r>
      <w:tr w14:paraId="00AF2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94" w:type="dxa"/>
            <w:vAlign w:val="center"/>
          </w:tcPr>
          <w:p w14:paraId="459400E1">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509" w:type="dxa"/>
            <w:vAlign w:val="center"/>
          </w:tcPr>
          <w:p w14:paraId="278567B0">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2243" w:type="dxa"/>
            <w:vAlign w:val="center"/>
          </w:tcPr>
          <w:p w14:paraId="700FBAF8">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2186" w:type="dxa"/>
            <w:vAlign w:val="center"/>
          </w:tcPr>
          <w:p w14:paraId="3F28410E">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600" w:type="dxa"/>
            <w:vAlign w:val="center"/>
          </w:tcPr>
          <w:p w14:paraId="244CF97E">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088" w:type="dxa"/>
            <w:vAlign w:val="center"/>
          </w:tcPr>
          <w:p w14:paraId="1FC79B02">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r>
    </w:tbl>
    <w:p w14:paraId="4B2138CC">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注：说明处按偏离情况注明“正偏离</w:t>
      </w:r>
      <w:r>
        <w:rPr>
          <w:rFonts w:hint="eastAsia" w:ascii="宋体" w:hAnsi="宋体" w:eastAsia="宋体" w:cs="宋体"/>
          <w:spacing w:val="-84"/>
          <w:sz w:val="24"/>
          <w:szCs w:val="24"/>
          <w:lang w:eastAsia="zh-CN"/>
        </w:rPr>
        <w:t xml:space="preserve"> </w:t>
      </w:r>
      <w:r>
        <w:rPr>
          <w:rFonts w:hint="eastAsia" w:ascii="宋体" w:hAnsi="宋体" w:eastAsia="宋体" w:cs="宋体"/>
          <w:spacing w:val="-3"/>
          <w:sz w:val="24"/>
          <w:szCs w:val="24"/>
          <w:lang w:eastAsia="zh-CN"/>
        </w:rPr>
        <w:t>”、“负偏离</w:t>
      </w:r>
      <w:r>
        <w:rPr>
          <w:rFonts w:hint="eastAsia" w:ascii="宋体" w:hAnsi="宋体" w:eastAsia="宋体" w:cs="宋体"/>
          <w:spacing w:val="-88"/>
          <w:sz w:val="24"/>
          <w:szCs w:val="24"/>
          <w:lang w:eastAsia="zh-CN"/>
        </w:rPr>
        <w:t xml:space="preserve"> </w:t>
      </w:r>
      <w:r>
        <w:rPr>
          <w:rFonts w:hint="eastAsia" w:ascii="宋体" w:hAnsi="宋体" w:eastAsia="宋体" w:cs="宋体"/>
          <w:spacing w:val="-3"/>
          <w:sz w:val="24"/>
          <w:szCs w:val="24"/>
          <w:lang w:eastAsia="zh-CN"/>
        </w:rPr>
        <w:t>”或“无偏离</w:t>
      </w:r>
      <w:r>
        <w:rPr>
          <w:rFonts w:hint="eastAsia" w:ascii="宋体" w:hAnsi="宋体" w:eastAsia="宋体" w:cs="宋体"/>
          <w:spacing w:val="-88"/>
          <w:sz w:val="24"/>
          <w:szCs w:val="24"/>
          <w:lang w:eastAsia="zh-CN"/>
        </w:rPr>
        <w:t xml:space="preserve"> </w:t>
      </w:r>
      <w:r>
        <w:rPr>
          <w:rFonts w:hint="eastAsia" w:ascii="宋体" w:hAnsi="宋体" w:eastAsia="宋体" w:cs="宋体"/>
          <w:spacing w:val="-3"/>
          <w:sz w:val="24"/>
          <w:szCs w:val="24"/>
          <w:lang w:eastAsia="zh-CN"/>
        </w:rPr>
        <w:t>”。</w:t>
      </w:r>
    </w:p>
    <w:p w14:paraId="38FC375B">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lang w:eastAsia="zh-CN"/>
        </w:rPr>
      </w:pPr>
    </w:p>
    <w:p w14:paraId="3CEDCA24">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供应商名称（公章</w:t>
      </w:r>
      <w:r>
        <w:rPr>
          <w:rFonts w:hint="eastAsia" w:ascii="宋体" w:hAnsi="宋体" w:eastAsia="宋体" w:cs="宋体"/>
          <w:spacing w:val="1"/>
          <w:sz w:val="24"/>
          <w:szCs w:val="24"/>
          <w:lang w:eastAsia="zh-CN"/>
        </w:rPr>
        <w:t>）：</w:t>
      </w:r>
      <w:r>
        <w:rPr>
          <w:rFonts w:hint="eastAsia" w:ascii="宋体" w:hAnsi="宋体" w:eastAsia="宋体" w:cs="宋体"/>
          <w:sz w:val="24"/>
          <w:szCs w:val="24"/>
          <w:u w:val="single"/>
          <w:lang w:eastAsia="zh-CN"/>
        </w:rPr>
        <w:t xml:space="preserve">               </w:t>
      </w:r>
    </w:p>
    <w:p w14:paraId="14F62B1D">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法定代表人或授权代理人（盖章或签字</w:t>
      </w:r>
      <w:r>
        <w:rPr>
          <w:rFonts w:hint="eastAsia" w:ascii="宋体" w:hAnsi="宋体" w:eastAsia="宋体" w:cs="宋体"/>
          <w:spacing w:val="6"/>
          <w:sz w:val="24"/>
          <w:szCs w:val="24"/>
          <w:lang w:eastAsia="zh-CN"/>
        </w:rPr>
        <w:t>）：</w:t>
      </w:r>
      <w:r>
        <w:rPr>
          <w:rFonts w:hint="eastAsia" w:ascii="宋体" w:hAnsi="宋体" w:eastAsia="宋体" w:cs="宋体"/>
          <w:sz w:val="24"/>
          <w:szCs w:val="24"/>
          <w:u w:val="single"/>
          <w:lang w:eastAsia="zh-CN"/>
        </w:rPr>
        <w:t xml:space="preserve">          </w:t>
      </w:r>
    </w:p>
    <w:p w14:paraId="67B3046C">
      <w:pPr>
        <w:keepNext w:val="0"/>
        <w:keepLines w:val="0"/>
        <w:pageBreakBefore w:val="0"/>
        <w:widowControl/>
        <w:kinsoku w:val="0"/>
        <w:wordWrap/>
        <w:overflowPunct/>
        <w:topLinePunct w:val="0"/>
        <w:autoSpaceDE w:val="0"/>
        <w:autoSpaceDN w:val="0"/>
        <w:bidi w:val="0"/>
        <w:adjustRightInd w:val="0"/>
        <w:snapToGrid w:val="0"/>
        <w:spacing w:line="500" w:lineRule="exact"/>
        <w:ind w:left="0"/>
        <w:jc w:val="right"/>
        <w:textAlignment w:val="baseline"/>
        <w:rPr>
          <w:rFonts w:hint="eastAsia" w:ascii="宋体" w:hAnsi="宋体" w:eastAsia="宋体" w:cs="宋体"/>
          <w:sz w:val="24"/>
          <w:szCs w:val="24"/>
          <w:lang w:eastAsia="zh-CN"/>
        </w:rPr>
      </w:pPr>
      <w:r>
        <w:rPr>
          <w:rFonts w:hint="eastAsia" w:ascii="宋体" w:hAnsi="宋体" w:eastAsia="宋体" w:cs="宋体"/>
          <w:spacing w:val="-16"/>
          <w:sz w:val="24"/>
          <w:szCs w:val="24"/>
          <w:lang w:eastAsia="zh-CN"/>
        </w:rPr>
        <w:t>年</w:t>
      </w:r>
      <w:r>
        <w:rPr>
          <w:rFonts w:hint="eastAsia" w:ascii="宋体" w:hAnsi="宋体" w:eastAsia="宋体" w:cs="宋体"/>
          <w:spacing w:val="27"/>
          <w:sz w:val="24"/>
          <w:szCs w:val="24"/>
          <w:lang w:eastAsia="zh-CN"/>
        </w:rPr>
        <w:t xml:space="preserve">  </w:t>
      </w:r>
      <w:r>
        <w:rPr>
          <w:rFonts w:hint="eastAsia" w:ascii="宋体" w:hAnsi="宋体" w:eastAsia="宋体" w:cs="宋体"/>
          <w:spacing w:val="-16"/>
          <w:sz w:val="24"/>
          <w:szCs w:val="24"/>
          <w:lang w:eastAsia="zh-CN"/>
        </w:rPr>
        <w:t xml:space="preserve">月 </w:t>
      </w:r>
      <w:r>
        <w:rPr>
          <w:rFonts w:hint="eastAsia" w:ascii="宋体" w:hAnsi="宋体" w:eastAsia="宋体" w:cs="宋体"/>
          <w:spacing w:val="66"/>
          <w:sz w:val="24"/>
          <w:szCs w:val="24"/>
          <w:lang w:eastAsia="zh-CN"/>
        </w:rPr>
        <w:t xml:space="preserve"> </w:t>
      </w:r>
      <w:r>
        <w:rPr>
          <w:rFonts w:hint="eastAsia" w:ascii="宋体" w:hAnsi="宋体" w:eastAsia="宋体" w:cs="宋体"/>
          <w:spacing w:val="-16"/>
          <w:sz w:val="24"/>
          <w:szCs w:val="24"/>
          <w:lang w:eastAsia="zh-CN"/>
        </w:rPr>
        <w:t>日</w:t>
      </w:r>
    </w:p>
    <w:p w14:paraId="5C1E8F7A">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sz w:val="24"/>
          <w:szCs w:val="24"/>
          <w:lang w:eastAsia="zh-CN"/>
        </w:rPr>
      </w:pPr>
    </w:p>
    <w:p w14:paraId="775E6B86">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sz w:val="24"/>
          <w:szCs w:val="24"/>
          <w:lang w:eastAsia="zh-CN"/>
        </w:rPr>
        <w:sectPr>
          <w:pgSz w:w="11922" w:h="16839"/>
          <w:pgMar w:top="1134" w:right="1134" w:bottom="1134" w:left="1134" w:header="1134" w:footer="1134" w:gutter="0"/>
          <w:cols w:space="720" w:num="1"/>
          <w:docGrid w:linePitch="286" w:charSpace="0"/>
        </w:sectPr>
      </w:pPr>
    </w:p>
    <w:p w14:paraId="72A8B8AA">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outlineLvl w:val="1"/>
        <w:rPr>
          <w:rFonts w:hint="eastAsia" w:ascii="宋体" w:hAnsi="宋体" w:eastAsia="宋体" w:cs="宋体"/>
          <w:sz w:val="28"/>
          <w:szCs w:val="28"/>
          <w:lang w:eastAsia="zh-CN"/>
        </w:rPr>
      </w:pPr>
      <w:r>
        <w:rPr>
          <w:rFonts w:hint="eastAsia" w:ascii="宋体" w:hAnsi="宋体" w:eastAsia="宋体" w:cs="宋体"/>
          <w:spacing w:val="-1"/>
          <w:sz w:val="28"/>
          <w:szCs w:val="28"/>
          <w:lang w:eastAsia="zh-CN"/>
          <w14:textOutline w14:w="5105" w14:cap="sq" w14:cmpd="sng" w14:algn="ctr">
            <w14:solidFill>
              <w14:srgbClr w14:val="000000"/>
            </w14:solidFill>
            <w14:prstDash w14:val="solid"/>
            <w14:bevel/>
          </w14:textOutline>
        </w:rPr>
        <w:t>2、商务偏离表</w:t>
      </w:r>
    </w:p>
    <w:p w14:paraId="631AB26A">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项目名称：济宁高新社发投资集团有限公司招标代理服务机构框架协议采购项目</w:t>
      </w:r>
    </w:p>
    <w:tbl>
      <w:tblPr>
        <w:tblStyle w:val="18"/>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3670"/>
        <w:gridCol w:w="1669"/>
        <w:gridCol w:w="1966"/>
        <w:gridCol w:w="1335"/>
      </w:tblGrid>
      <w:tr w14:paraId="3CF5D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1097" w:type="dxa"/>
            <w:vAlign w:val="center"/>
          </w:tcPr>
          <w:p w14:paraId="58182867">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r>
              <w:rPr>
                <w:rFonts w:hint="eastAsia" w:ascii="宋体" w:hAnsi="宋体" w:eastAsia="宋体" w:cs="宋体"/>
                <w:spacing w:val="-8"/>
              </w:rPr>
              <w:t>序号</w:t>
            </w:r>
          </w:p>
        </w:tc>
        <w:tc>
          <w:tcPr>
            <w:tcW w:w="3670" w:type="dxa"/>
            <w:vAlign w:val="center"/>
          </w:tcPr>
          <w:p w14:paraId="3F23C404">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r>
              <w:rPr>
                <w:rFonts w:hint="eastAsia" w:ascii="宋体" w:hAnsi="宋体" w:eastAsia="宋体" w:cs="宋体"/>
                <w:spacing w:val="-3"/>
              </w:rPr>
              <w:t>征集文件商务要求</w:t>
            </w:r>
          </w:p>
        </w:tc>
        <w:tc>
          <w:tcPr>
            <w:tcW w:w="1669" w:type="dxa"/>
            <w:vAlign w:val="center"/>
          </w:tcPr>
          <w:p w14:paraId="2647C5AC">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r>
              <w:rPr>
                <w:rFonts w:hint="eastAsia" w:ascii="宋体" w:hAnsi="宋体" w:eastAsia="宋体" w:cs="宋体"/>
                <w:spacing w:val="-6"/>
                <w:position w:val="11"/>
              </w:rPr>
              <w:t>响应文件</w:t>
            </w:r>
          </w:p>
          <w:p w14:paraId="237B6CAE">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r>
              <w:rPr>
                <w:rFonts w:hint="eastAsia" w:ascii="宋体" w:hAnsi="宋体" w:eastAsia="宋体" w:cs="宋体"/>
                <w:spacing w:val="-5"/>
              </w:rPr>
              <w:t>对应规范</w:t>
            </w:r>
          </w:p>
        </w:tc>
        <w:tc>
          <w:tcPr>
            <w:tcW w:w="1966" w:type="dxa"/>
            <w:vAlign w:val="center"/>
          </w:tcPr>
          <w:p w14:paraId="3002A663">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r>
              <w:rPr>
                <w:rFonts w:hint="eastAsia" w:ascii="宋体" w:hAnsi="宋体" w:eastAsia="宋体" w:cs="宋体"/>
                <w:spacing w:val="-5"/>
              </w:rPr>
              <w:t>偏差内容</w:t>
            </w:r>
          </w:p>
        </w:tc>
        <w:tc>
          <w:tcPr>
            <w:tcW w:w="1335" w:type="dxa"/>
            <w:vAlign w:val="center"/>
          </w:tcPr>
          <w:p w14:paraId="4AF8D64A">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r>
              <w:rPr>
                <w:rFonts w:hint="eastAsia" w:ascii="宋体" w:hAnsi="宋体" w:eastAsia="宋体" w:cs="宋体"/>
                <w:spacing w:val="-9"/>
              </w:rPr>
              <w:t>说明</w:t>
            </w:r>
          </w:p>
        </w:tc>
      </w:tr>
      <w:tr w14:paraId="6A68C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097" w:type="dxa"/>
            <w:vAlign w:val="center"/>
          </w:tcPr>
          <w:p w14:paraId="00678DCE">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3670" w:type="dxa"/>
            <w:vAlign w:val="center"/>
          </w:tcPr>
          <w:p w14:paraId="180D8A6A">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669" w:type="dxa"/>
            <w:vAlign w:val="center"/>
          </w:tcPr>
          <w:p w14:paraId="19D53F94">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966" w:type="dxa"/>
            <w:vAlign w:val="center"/>
          </w:tcPr>
          <w:p w14:paraId="07C651A6">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335" w:type="dxa"/>
            <w:vAlign w:val="center"/>
          </w:tcPr>
          <w:p w14:paraId="7EFAB605">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r>
      <w:tr w14:paraId="283A0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097" w:type="dxa"/>
            <w:vAlign w:val="center"/>
          </w:tcPr>
          <w:p w14:paraId="56317532">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3670" w:type="dxa"/>
            <w:vAlign w:val="center"/>
          </w:tcPr>
          <w:p w14:paraId="35F7E2F5">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669" w:type="dxa"/>
            <w:vAlign w:val="center"/>
          </w:tcPr>
          <w:p w14:paraId="7126F02E">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966" w:type="dxa"/>
            <w:vAlign w:val="center"/>
          </w:tcPr>
          <w:p w14:paraId="65286C6B">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335" w:type="dxa"/>
            <w:vAlign w:val="center"/>
          </w:tcPr>
          <w:p w14:paraId="3695FC95">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r>
      <w:tr w14:paraId="45282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097" w:type="dxa"/>
            <w:vAlign w:val="center"/>
          </w:tcPr>
          <w:p w14:paraId="66C2BD61">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3670" w:type="dxa"/>
            <w:vAlign w:val="center"/>
          </w:tcPr>
          <w:p w14:paraId="220B2BCB">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669" w:type="dxa"/>
            <w:vAlign w:val="center"/>
          </w:tcPr>
          <w:p w14:paraId="6F057465">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966" w:type="dxa"/>
            <w:vAlign w:val="center"/>
          </w:tcPr>
          <w:p w14:paraId="76E97B2A">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335" w:type="dxa"/>
            <w:vAlign w:val="center"/>
          </w:tcPr>
          <w:p w14:paraId="528F4F10">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r>
      <w:tr w14:paraId="507DD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097" w:type="dxa"/>
            <w:vAlign w:val="center"/>
          </w:tcPr>
          <w:p w14:paraId="7D1DFB1B">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3670" w:type="dxa"/>
            <w:vAlign w:val="center"/>
          </w:tcPr>
          <w:p w14:paraId="20155ED5">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669" w:type="dxa"/>
            <w:vAlign w:val="center"/>
          </w:tcPr>
          <w:p w14:paraId="36ADD356">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966" w:type="dxa"/>
            <w:vAlign w:val="center"/>
          </w:tcPr>
          <w:p w14:paraId="2509382B">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335" w:type="dxa"/>
            <w:vAlign w:val="center"/>
          </w:tcPr>
          <w:p w14:paraId="518B6C8B">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r>
      <w:tr w14:paraId="67140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097" w:type="dxa"/>
            <w:vAlign w:val="center"/>
          </w:tcPr>
          <w:p w14:paraId="503C2202">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3670" w:type="dxa"/>
            <w:vAlign w:val="center"/>
          </w:tcPr>
          <w:p w14:paraId="703063CD">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669" w:type="dxa"/>
            <w:vAlign w:val="center"/>
          </w:tcPr>
          <w:p w14:paraId="1E403481">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966" w:type="dxa"/>
            <w:vAlign w:val="center"/>
          </w:tcPr>
          <w:p w14:paraId="77E06DBE">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335" w:type="dxa"/>
            <w:vAlign w:val="center"/>
          </w:tcPr>
          <w:p w14:paraId="26467A26">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r>
      <w:tr w14:paraId="4DB5F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097" w:type="dxa"/>
            <w:vAlign w:val="center"/>
          </w:tcPr>
          <w:p w14:paraId="698E3F83">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3670" w:type="dxa"/>
            <w:vAlign w:val="center"/>
          </w:tcPr>
          <w:p w14:paraId="7EDC0136">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669" w:type="dxa"/>
            <w:vAlign w:val="center"/>
          </w:tcPr>
          <w:p w14:paraId="5F801C0D">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966" w:type="dxa"/>
            <w:vAlign w:val="center"/>
          </w:tcPr>
          <w:p w14:paraId="7BFFBAB6">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335" w:type="dxa"/>
            <w:vAlign w:val="center"/>
          </w:tcPr>
          <w:p w14:paraId="7046304C">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r>
      <w:tr w14:paraId="15FBB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097" w:type="dxa"/>
            <w:vAlign w:val="center"/>
          </w:tcPr>
          <w:p w14:paraId="58372BFD">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3670" w:type="dxa"/>
            <w:vAlign w:val="center"/>
          </w:tcPr>
          <w:p w14:paraId="0418EEB1">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669" w:type="dxa"/>
            <w:vAlign w:val="center"/>
          </w:tcPr>
          <w:p w14:paraId="1D59795C">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966" w:type="dxa"/>
            <w:vAlign w:val="center"/>
          </w:tcPr>
          <w:p w14:paraId="64B18007">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335" w:type="dxa"/>
            <w:vAlign w:val="center"/>
          </w:tcPr>
          <w:p w14:paraId="46B0A1C9">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r>
      <w:tr w14:paraId="05CC2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097" w:type="dxa"/>
            <w:vAlign w:val="center"/>
          </w:tcPr>
          <w:p w14:paraId="6A5EADF2">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3670" w:type="dxa"/>
            <w:vAlign w:val="center"/>
          </w:tcPr>
          <w:p w14:paraId="09F4FA03">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669" w:type="dxa"/>
            <w:vAlign w:val="center"/>
          </w:tcPr>
          <w:p w14:paraId="02F577A0">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966" w:type="dxa"/>
            <w:vAlign w:val="center"/>
          </w:tcPr>
          <w:p w14:paraId="11AD387F">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335" w:type="dxa"/>
            <w:vAlign w:val="center"/>
          </w:tcPr>
          <w:p w14:paraId="12846E22">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r>
      <w:tr w14:paraId="490BF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097" w:type="dxa"/>
            <w:vAlign w:val="center"/>
          </w:tcPr>
          <w:p w14:paraId="46FC7895">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3670" w:type="dxa"/>
            <w:vAlign w:val="center"/>
          </w:tcPr>
          <w:p w14:paraId="5DCB516E">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669" w:type="dxa"/>
            <w:vAlign w:val="center"/>
          </w:tcPr>
          <w:p w14:paraId="2E0A889A">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966" w:type="dxa"/>
            <w:vAlign w:val="center"/>
          </w:tcPr>
          <w:p w14:paraId="042C271D">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c>
          <w:tcPr>
            <w:tcW w:w="1335" w:type="dxa"/>
            <w:vAlign w:val="center"/>
          </w:tcPr>
          <w:p w14:paraId="721298B9">
            <w:pPr>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rPr>
            </w:pPr>
          </w:p>
        </w:tc>
      </w:tr>
    </w:tbl>
    <w:p w14:paraId="3875095B">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注：说明处按偏离情况注明“正偏离</w:t>
      </w:r>
      <w:r>
        <w:rPr>
          <w:rFonts w:hint="eastAsia" w:ascii="宋体" w:hAnsi="宋体" w:eastAsia="宋体" w:cs="宋体"/>
          <w:spacing w:val="-84"/>
          <w:sz w:val="24"/>
          <w:szCs w:val="24"/>
          <w:lang w:eastAsia="zh-CN"/>
        </w:rPr>
        <w:t xml:space="preserve"> </w:t>
      </w:r>
      <w:r>
        <w:rPr>
          <w:rFonts w:hint="eastAsia" w:ascii="宋体" w:hAnsi="宋体" w:eastAsia="宋体" w:cs="宋体"/>
          <w:spacing w:val="-3"/>
          <w:sz w:val="24"/>
          <w:szCs w:val="24"/>
          <w:lang w:eastAsia="zh-CN"/>
        </w:rPr>
        <w:t>”、“负偏离</w:t>
      </w:r>
      <w:r>
        <w:rPr>
          <w:rFonts w:hint="eastAsia" w:ascii="宋体" w:hAnsi="宋体" w:eastAsia="宋体" w:cs="宋体"/>
          <w:spacing w:val="-88"/>
          <w:sz w:val="24"/>
          <w:szCs w:val="24"/>
          <w:lang w:eastAsia="zh-CN"/>
        </w:rPr>
        <w:t xml:space="preserve"> </w:t>
      </w:r>
      <w:r>
        <w:rPr>
          <w:rFonts w:hint="eastAsia" w:ascii="宋体" w:hAnsi="宋体" w:eastAsia="宋体" w:cs="宋体"/>
          <w:spacing w:val="-3"/>
          <w:sz w:val="24"/>
          <w:szCs w:val="24"/>
          <w:lang w:eastAsia="zh-CN"/>
        </w:rPr>
        <w:t>”或“无偏离</w:t>
      </w:r>
      <w:r>
        <w:rPr>
          <w:rFonts w:hint="eastAsia" w:ascii="宋体" w:hAnsi="宋体" w:eastAsia="宋体" w:cs="宋体"/>
          <w:spacing w:val="-88"/>
          <w:sz w:val="24"/>
          <w:szCs w:val="24"/>
          <w:lang w:eastAsia="zh-CN"/>
        </w:rPr>
        <w:t xml:space="preserve"> </w:t>
      </w:r>
      <w:r>
        <w:rPr>
          <w:rFonts w:hint="eastAsia" w:ascii="宋体" w:hAnsi="宋体" w:eastAsia="宋体" w:cs="宋体"/>
          <w:spacing w:val="-3"/>
          <w:sz w:val="24"/>
          <w:szCs w:val="24"/>
          <w:lang w:eastAsia="zh-CN"/>
        </w:rPr>
        <w:t>”。</w:t>
      </w:r>
    </w:p>
    <w:p w14:paraId="29D0E329">
      <w:pPr>
        <w:pStyle w:val="4"/>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lang w:eastAsia="zh-CN"/>
        </w:rPr>
      </w:pPr>
    </w:p>
    <w:p w14:paraId="3AA9E2E6">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供应商名称（公章</w:t>
      </w:r>
      <w:r>
        <w:rPr>
          <w:rFonts w:hint="eastAsia" w:ascii="宋体" w:hAnsi="宋体" w:eastAsia="宋体" w:cs="宋体"/>
          <w:spacing w:val="1"/>
          <w:sz w:val="24"/>
          <w:szCs w:val="24"/>
          <w:lang w:eastAsia="zh-CN"/>
        </w:rPr>
        <w:t>）：</w:t>
      </w:r>
      <w:r>
        <w:rPr>
          <w:rFonts w:hint="eastAsia" w:ascii="宋体" w:hAnsi="宋体" w:eastAsia="宋体" w:cs="宋体"/>
          <w:sz w:val="24"/>
          <w:szCs w:val="24"/>
          <w:u w:val="single"/>
          <w:lang w:eastAsia="zh-CN"/>
        </w:rPr>
        <w:t xml:space="preserve">                        </w:t>
      </w:r>
    </w:p>
    <w:p w14:paraId="223428BE">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法定代表人或授权代理人（盖章或签字</w:t>
      </w:r>
      <w:r>
        <w:rPr>
          <w:rFonts w:hint="eastAsia" w:ascii="宋体" w:hAnsi="宋体" w:eastAsia="宋体" w:cs="宋体"/>
          <w:spacing w:val="6"/>
          <w:sz w:val="24"/>
          <w:szCs w:val="24"/>
          <w:lang w:eastAsia="zh-CN"/>
        </w:rPr>
        <w:t>）：</w:t>
      </w:r>
      <w:r>
        <w:rPr>
          <w:rFonts w:hint="eastAsia" w:ascii="宋体" w:hAnsi="宋体" w:eastAsia="宋体" w:cs="宋体"/>
          <w:sz w:val="24"/>
          <w:szCs w:val="24"/>
          <w:u w:val="single"/>
          <w:lang w:eastAsia="zh-CN"/>
        </w:rPr>
        <w:t xml:space="preserve">          </w:t>
      </w:r>
    </w:p>
    <w:p w14:paraId="03796BA1">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sz w:val="24"/>
          <w:szCs w:val="24"/>
          <w:lang w:eastAsia="zh-CN"/>
        </w:rPr>
      </w:pPr>
      <w:r>
        <w:rPr>
          <w:rFonts w:hint="eastAsia" w:ascii="宋体" w:hAnsi="宋体" w:eastAsia="宋体" w:cs="宋体"/>
          <w:spacing w:val="-16"/>
          <w:sz w:val="24"/>
          <w:szCs w:val="24"/>
          <w:lang w:eastAsia="zh-CN"/>
        </w:rPr>
        <w:t>年</w:t>
      </w:r>
      <w:r>
        <w:rPr>
          <w:rFonts w:hint="eastAsia" w:ascii="宋体" w:hAnsi="宋体" w:eastAsia="宋体" w:cs="宋体"/>
          <w:spacing w:val="27"/>
          <w:sz w:val="24"/>
          <w:szCs w:val="24"/>
          <w:lang w:eastAsia="zh-CN"/>
        </w:rPr>
        <w:t xml:space="preserve"> </w:t>
      </w:r>
      <w:r>
        <w:rPr>
          <w:rFonts w:hint="eastAsia" w:ascii="宋体" w:hAnsi="宋体" w:eastAsia="宋体" w:cs="宋体"/>
          <w:spacing w:val="-16"/>
          <w:sz w:val="24"/>
          <w:szCs w:val="24"/>
          <w:lang w:eastAsia="zh-CN"/>
        </w:rPr>
        <w:t>月</w:t>
      </w:r>
      <w:r>
        <w:rPr>
          <w:rFonts w:hint="eastAsia" w:ascii="宋体" w:hAnsi="宋体" w:eastAsia="宋体" w:cs="宋体"/>
          <w:spacing w:val="66"/>
          <w:sz w:val="24"/>
          <w:szCs w:val="24"/>
          <w:lang w:eastAsia="zh-CN"/>
        </w:rPr>
        <w:t xml:space="preserve"> </w:t>
      </w:r>
      <w:r>
        <w:rPr>
          <w:rFonts w:hint="eastAsia" w:ascii="宋体" w:hAnsi="宋体" w:eastAsia="宋体" w:cs="宋体"/>
          <w:spacing w:val="-16"/>
          <w:sz w:val="24"/>
          <w:szCs w:val="24"/>
          <w:lang w:eastAsia="zh-CN"/>
        </w:rPr>
        <w:t>日</w:t>
      </w:r>
    </w:p>
    <w:p w14:paraId="0E6D9B18">
      <w:pPr>
        <w:spacing w:line="222" w:lineRule="auto"/>
        <w:rPr>
          <w:rFonts w:hint="eastAsia" w:ascii="宋体" w:hAnsi="宋体" w:eastAsia="宋体" w:cs="宋体"/>
          <w:sz w:val="24"/>
          <w:szCs w:val="24"/>
          <w:lang w:eastAsia="zh-CN"/>
        </w:rPr>
        <w:sectPr>
          <w:pgSz w:w="11922" w:h="16839"/>
          <w:pgMar w:top="1134" w:right="1134" w:bottom="1134" w:left="1134" w:header="1134" w:footer="1134" w:gutter="0"/>
          <w:cols w:space="720" w:num="1"/>
          <w:docGrid w:linePitch="286" w:charSpace="0"/>
        </w:sectPr>
      </w:pPr>
    </w:p>
    <w:p w14:paraId="7CA4D1E7">
      <w:pPr>
        <w:spacing w:before="72" w:line="227" w:lineRule="auto"/>
        <w:jc w:val="center"/>
        <w:outlineLvl w:val="0"/>
        <w:rPr>
          <w:rFonts w:hint="eastAsia" w:ascii="宋体" w:hAnsi="宋体" w:eastAsia="宋体" w:cs="宋体"/>
          <w:sz w:val="35"/>
          <w:szCs w:val="35"/>
          <w:lang w:eastAsia="zh-CN"/>
        </w:rPr>
      </w:pPr>
      <w:bookmarkStart w:id="17" w:name="_Toc7806"/>
      <w:bookmarkStart w:id="18" w:name="_Toc25502"/>
      <w:r>
        <w:rPr>
          <w:rFonts w:hint="eastAsia" w:ascii="宋体" w:hAnsi="宋体" w:eastAsia="宋体" w:cs="宋体"/>
          <w:spacing w:val="8"/>
          <w:sz w:val="35"/>
          <w:szCs w:val="35"/>
          <w:lang w:eastAsia="zh-CN"/>
          <w14:textOutline w14:w="6540" w14:cap="sq" w14:cmpd="sng" w14:algn="ctr">
            <w14:solidFill>
              <w14:srgbClr w14:val="000000"/>
            </w14:solidFill>
            <w14:prstDash w14:val="solid"/>
            <w14:bevel/>
          </w14:textOutline>
        </w:rPr>
        <w:t>第四章</w:t>
      </w:r>
      <w:r>
        <w:rPr>
          <w:rFonts w:hint="eastAsia" w:ascii="宋体" w:hAnsi="宋体" w:eastAsia="宋体" w:cs="宋体"/>
          <w:spacing w:val="8"/>
          <w:sz w:val="35"/>
          <w:szCs w:val="35"/>
          <w:lang w:eastAsia="zh-CN"/>
        </w:rPr>
        <w:t xml:space="preserve"> </w:t>
      </w:r>
      <w:r>
        <w:rPr>
          <w:rFonts w:hint="eastAsia" w:ascii="宋体" w:hAnsi="宋体" w:eastAsia="宋体" w:cs="宋体"/>
          <w:spacing w:val="8"/>
          <w:sz w:val="35"/>
          <w:szCs w:val="35"/>
          <w:lang w:eastAsia="zh-CN"/>
          <w14:textOutline w14:w="6540" w14:cap="sq" w14:cmpd="sng" w14:algn="ctr">
            <w14:solidFill>
              <w14:srgbClr w14:val="000000"/>
            </w14:solidFill>
            <w14:prstDash w14:val="solid"/>
            <w14:bevel/>
          </w14:textOutline>
        </w:rPr>
        <w:t>业绩及信誉</w:t>
      </w:r>
      <w:bookmarkEnd w:id="17"/>
      <w:bookmarkEnd w:id="18"/>
    </w:p>
    <w:p w14:paraId="4280CD1B">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outlineLvl w:val="1"/>
        <w:rPr>
          <w:rFonts w:hint="eastAsia" w:ascii="宋体" w:hAnsi="宋体" w:eastAsia="宋体" w:cs="宋体"/>
          <w:sz w:val="31"/>
          <w:szCs w:val="31"/>
        </w:rPr>
      </w:pPr>
      <w:r>
        <w:rPr>
          <w:rFonts w:hint="eastAsia" w:ascii="宋体" w:hAnsi="宋体" w:eastAsia="宋体" w:cs="宋体"/>
          <w:spacing w:val="8"/>
          <w:sz w:val="31"/>
          <w:szCs w:val="31"/>
          <w14:textOutline w14:w="5791" w14:cap="sq" w14:cmpd="sng" w14:algn="ctr">
            <w14:solidFill>
              <w14:srgbClr w14:val="000000"/>
            </w14:solidFill>
            <w14:prstDash w14:val="solid"/>
            <w14:bevel/>
          </w14:textOutline>
        </w:rPr>
        <w:t>4.1</w:t>
      </w:r>
      <w:r>
        <w:rPr>
          <w:rFonts w:hint="eastAsia" w:ascii="宋体" w:hAnsi="宋体" w:eastAsia="宋体" w:cs="宋体"/>
          <w:spacing w:val="8"/>
          <w:sz w:val="31"/>
          <w:szCs w:val="31"/>
        </w:rPr>
        <w:t xml:space="preserve"> </w:t>
      </w:r>
      <w:r>
        <w:rPr>
          <w:rFonts w:hint="eastAsia" w:ascii="宋体" w:hAnsi="宋体" w:eastAsia="宋体" w:cs="宋体"/>
          <w:spacing w:val="8"/>
          <w:sz w:val="31"/>
          <w:szCs w:val="31"/>
          <w14:textOutline w14:w="5791" w14:cap="sq" w14:cmpd="sng" w14:algn="ctr">
            <w14:solidFill>
              <w14:srgbClr w14:val="000000"/>
            </w14:solidFill>
            <w14:prstDash w14:val="solid"/>
            <w14:bevel/>
          </w14:textOutline>
        </w:rPr>
        <w:t>业绩一览表</w:t>
      </w:r>
    </w:p>
    <w:tbl>
      <w:tblPr>
        <w:tblStyle w:val="18"/>
        <w:tblW w:w="91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1860"/>
        <w:gridCol w:w="1678"/>
        <w:gridCol w:w="1524"/>
        <w:gridCol w:w="1581"/>
        <w:gridCol w:w="1529"/>
      </w:tblGrid>
      <w:tr w14:paraId="60624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jc w:val="center"/>
        </w:trPr>
        <w:tc>
          <w:tcPr>
            <w:tcW w:w="945" w:type="dxa"/>
            <w:vAlign w:val="center"/>
          </w:tcPr>
          <w:p w14:paraId="6E0CF579">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254"/>
              <w:jc w:val="both"/>
              <w:textAlignment w:val="baseline"/>
              <w:rPr>
                <w:rFonts w:hint="eastAsia" w:ascii="宋体" w:hAnsi="宋体" w:eastAsia="宋体" w:cs="宋体"/>
                <w:sz w:val="22"/>
                <w:szCs w:val="22"/>
              </w:rPr>
            </w:pPr>
            <w:r>
              <w:rPr>
                <w:rFonts w:hint="eastAsia" w:ascii="宋体" w:hAnsi="宋体" w:eastAsia="宋体" w:cs="宋体"/>
                <w:spacing w:val="-7"/>
                <w:sz w:val="22"/>
                <w:szCs w:val="22"/>
              </w:rPr>
              <w:t>序号</w:t>
            </w:r>
          </w:p>
        </w:tc>
        <w:tc>
          <w:tcPr>
            <w:tcW w:w="1860" w:type="dxa"/>
            <w:vAlign w:val="center"/>
          </w:tcPr>
          <w:p w14:paraId="6DC49CA9">
            <w:pPr>
              <w:pStyle w:val="19"/>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2"/>
                <w:szCs w:val="22"/>
              </w:rPr>
            </w:pPr>
            <w:r>
              <w:rPr>
                <w:rFonts w:hint="eastAsia" w:ascii="宋体" w:hAnsi="宋体" w:eastAsia="宋体" w:cs="宋体"/>
                <w:spacing w:val="-4"/>
                <w:sz w:val="22"/>
                <w:szCs w:val="22"/>
              </w:rPr>
              <w:t>项目名称</w:t>
            </w:r>
          </w:p>
        </w:tc>
        <w:tc>
          <w:tcPr>
            <w:tcW w:w="1678" w:type="dxa"/>
            <w:vAlign w:val="center"/>
          </w:tcPr>
          <w:p w14:paraId="08142115">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right="85"/>
              <w:jc w:val="center"/>
              <w:textAlignment w:val="baseline"/>
              <w:rPr>
                <w:rFonts w:hint="eastAsia" w:ascii="宋体" w:hAnsi="宋体" w:eastAsia="宋体" w:cs="宋体"/>
                <w:sz w:val="22"/>
                <w:szCs w:val="22"/>
              </w:rPr>
            </w:pPr>
            <w:r>
              <w:rPr>
                <w:rFonts w:hint="eastAsia" w:ascii="宋体" w:hAnsi="宋体" w:eastAsia="宋体" w:cs="宋体"/>
                <w:spacing w:val="-4"/>
                <w:sz w:val="22"/>
                <w:szCs w:val="22"/>
              </w:rPr>
              <w:t>合同签订时</w:t>
            </w:r>
            <w:r>
              <w:rPr>
                <w:rFonts w:hint="eastAsia" w:ascii="宋体" w:hAnsi="宋体" w:eastAsia="宋体" w:cs="宋体"/>
                <w:sz w:val="22"/>
                <w:szCs w:val="22"/>
              </w:rPr>
              <w:t>间</w:t>
            </w:r>
          </w:p>
        </w:tc>
        <w:tc>
          <w:tcPr>
            <w:tcW w:w="1524" w:type="dxa"/>
            <w:vAlign w:val="center"/>
          </w:tcPr>
          <w:p w14:paraId="3D16D0DB">
            <w:pPr>
              <w:pStyle w:val="19"/>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2"/>
                <w:szCs w:val="22"/>
                <w:lang w:eastAsia="zh-CN"/>
              </w:rPr>
            </w:pPr>
            <w:r>
              <w:rPr>
                <w:rFonts w:hint="eastAsia" w:ascii="宋体" w:hAnsi="宋体" w:eastAsia="宋体" w:cs="宋体"/>
                <w:sz w:val="22"/>
                <w:szCs w:val="22"/>
                <w:lang w:eastAsia="zh-CN"/>
              </w:rPr>
              <w:t>金额（万元）</w:t>
            </w:r>
          </w:p>
        </w:tc>
        <w:tc>
          <w:tcPr>
            <w:tcW w:w="1581" w:type="dxa"/>
            <w:vAlign w:val="center"/>
          </w:tcPr>
          <w:p w14:paraId="5D374D64">
            <w:pPr>
              <w:pStyle w:val="19"/>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2"/>
                <w:szCs w:val="22"/>
              </w:rPr>
            </w:pPr>
            <w:r>
              <w:rPr>
                <w:rFonts w:hint="eastAsia" w:ascii="宋体" w:hAnsi="宋体" w:eastAsia="宋体" w:cs="宋体"/>
                <w:spacing w:val="-9"/>
                <w:sz w:val="22"/>
                <w:szCs w:val="22"/>
              </w:rPr>
              <w:t>甲方</w:t>
            </w:r>
            <w:r>
              <w:rPr>
                <w:rFonts w:hint="eastAsia" w:ascii="宋体" w:hAnsi="宋体" w:eastAsia="宋体" w:cs="宋体"/>
                <w:spacing w:val="-9"/>
                <w:sz w:val="22"/>
                <w:szCs w:val="22"/>
                <w:lang w:eastAsia="zh-CN"/>
              </w:rPr>
              <w:t>单位及</w:t>
            </w:r>
            <w:r>
              <w:rPr>
                <w:rFonts w:hint="eastAsia" w:ascii="宋体" w:hAnsi="宋体" w:eastAsia="宋体" w:cs="宋体"/>
                <w:spacing w:val="-9"/>
                <w:sz w:val="22"/>
                <w:szCs w:val="22"/>
              </w:rPr>
              <w:t>联系人</w:t>
            </w:r>
          </w:p>
        </w:tc>
        <w:tc>
          <w:tcPr>
            <w:tcW w:w="1529" w:type="dxa"/>
            <w:vAlign w:val="center"/>
          </w:tcPr>
          <w:p w14:paraId="10161CC7">
            <w:pPr>
              <w:pStyle w:val="19"/>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z w:val="22"/>
                <w:szCs w:val="22"/>
              </w:rPr>
            </w:pPr>
            <w:r>
              <w:rPr>
                <w:rFonts w:hint="eastAsia" w:ascii="宋体" w:hAnsi="宋体" w:eastAsia="宋体" w:cs="宋体"/>
                <w:spacing w:val="-3"/>
                <w:sz w:val="22"/>
                <w:szCs w:val="22"/>
              </w:rPr>
              <w:t>联系电话</w:t>
            </w:r>
          </w:p>
        </w:tc>
      </w:tr>
      <w:tr w14:paraId="3734D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3" w:hRule="atLeast"/>
          <w:jc w:val="center"/>
        </w:trPr>
        <w:tc>
          <w:tcPr>
            <w:tcW w:w="945" w:type="dxa"/>
            <w:vAlign w:val="center"/>
          </w:tcPr>
          <w:p w14:paraId="22256B69">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860" w:type="dxa"/>
            <w:vAlign w:val="center"/>
          </w:tcPr>
          <w:p w14:paraId="02413C89">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678" w:type="dxa"/>
            <w:vAlign w:val="center"/>
          </w:tcPr>
          <w:p w14:paraId="2D03DF4C">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24" w:type="dxa"/>
            <w:vAlign w:val="center"/>
          </w:tcPr>
          <w:p w14:paraId="11360832">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81" w:type="dxa"/>
            <w:vAlign w:val="center"/>
          </w:tcPr>
          <w:p w14:paraId="45394ADC">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29" w:type="dxa"/>
            <w:vAlign w:val="center"/>
          </w:tcPr>
          <w:p w14:paraId="534D33F8">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r>
      <w:tr w14:paraId="1B71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jc w:val="center"/>
        </w:trPr>
        <w:tc>
          <w:tcPr>
            <w:tcW w:w="945" w:type="dxa"/>
            <w:vAlign w:val="center"/>
          </w:tcPr>
          <w:p w14:paraId="48BFDA07">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860" w:type="dxa"/>
            <w:vAlign w:val="center"/>
          </w:tcPr>
          <w:p w14:paraId="092BD740">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678" w:type="dxa"/>
            <w:vAlign w:val="center"/>
          </w:tcPr>
          <w:p w14:paraId="4D6038C8">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24" w:type="dxa"/>
            <w:vAlign w:val="center"/>
          </w:tcPr>
          <w:p w14:paraId="587BF12C">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81" w:type="dxa"/>
            <w:vAlign w:val="center"/>
          </w:tcPr>
          <w:p w14:paraId="70F57CC2">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29" w:type="dxa"/>
            <w:vAlign w:val="center"/>
          </w:tcPr>
          <w:p w14:paraId="42D3D68A">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r>
      <w:tr w14:paraId="18739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945" w:type="dxa"/>
            <w:vAlign w:val="center"/>
          </w:tcPr>
          <w:p w14:paraId="5A3BB584">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860" w:type="dxa"/>
            <w:vAlign w:val="center"/>
          </w:tcPr>
          <w:p w14:paraId="74D194B9">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678" w:type="dxa"/>
            <w:vAlign w:val="center"/>
          </w:tcPr>
          <w:p w14:paraId="396B0162">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24" w:type="dxa"/>
            <w:vAlign w:val="center"/>
          </w:tcPr>
          <w:p w14:paraId="62BE52A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81" w:type="dxa"/>
            <w:vAlign w:val="center"/>
          </w:tcPr>
          <w:p w14:paraId="09E51F01">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29" w:type="dxa"/>
            <w:vAlign w:val="center"/>
          </w:tcPr>
          <w:p w14:paraId="7192BED5">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r>
      <w:tr w14:paraId="2AB47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jc w:val="center"/>
        </w:trPr>
        <w:tc>
          <w:tcPr>
            <w:tcW w:w="945" w:type="dxa"/>
            <w:vAlign w:val="center"/>
          </w:tcPr>
          <w:p w14:paraId="0A9DA8F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860" w:type="dxa"/>
            <w:vAlign w:val="center"/>
          </w:tcPr>
          <w:p w14:paraId="7E2D12C9">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678" w:type="dxa"/>
            <w:vAlign w:val="center"/>
          </w:tcPr>
          <w:p w14:paraId="764E287C">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24" w:type="dxa"/>
            <w:vAlign w:val="center"/>
          </w:tcPr>
          <w:p w14:paraId="0D51677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81" w:type="dxa"/>
            <w:vAlign w:val="center"/>
          </w:tcPr>
          <w:p w14:paraId="76BCA05D">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29" w:type="dxa"/>
            <w:vAlign w:val="center"/>
          </w:tcPr>
          <w:p w14:paraId="0F458B3D">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r>
      <w:tr w14:paraId="7C27D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jc w:val="center"/>
        </w:trPr>
        <w:tc>
          <w:tcPr>
            <w:tcW w:w="945" w:type="dxa"/>
            <w:vAlign w:val="center"/>
          </w:tcPr>
          <w:p w14:paraId="05E4C267">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p w14:paraId="31CE91BC">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860" w:type="dxa"/>
            <w:vAlign w:val="center"/>
          </w:tcPr>
          <w:p w14:paraId="55A03B8E">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678" w:type="dxa"/>
            <w:vAlign w:val="center"/>
          </w:tcPr>
          <w:p w14:paraId="5A4A5D17">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24" w:type="dxa"/>
            <w:vAlign w:val="center"/>
          </w:tcPr>
          <w:p w14:paraId="26B6BF85">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81" w:type="dxa"/>
            <w:vAlign w:val="center"/>
          </w:tcPr>
          <w:p w14:paraId="2D904C75">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29" w:type="dxa"/>
            <w:vAlign w:val="center"/>
          </w:tcPr>
          <w:p w14:paraId="051FC1CA">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r>
      <w:tr w14:paraId="4F26C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jc w:val="center"/>
        </w:trPr>
        <w:tc>
          <w:tcPr>
            <w:tcW w:w="945" w:type="dxa"/>
            <w:vAlign w:val="center"/>
          </w:tcPr>
          <w:p w14:paraId="216E5944">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860" w:type="dxa"/>
            <w:vAlign w:val="center"/>
          </w:tcPr>
          <w:p w14:paraId="052EC0F4">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678" w:type="dxa"/>
            <w:vAlign w:val="center"/>
          </w:tcPr>
          <w:p w14:paraId="6FC4D9E2">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24" w:type="dxa"/>
            <w:vAlign w:val="center"/>
          </w:tcPr>
          <w:p w14:paraId="16EADC0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81" w:type="dxa"/>
            <w:vAlign w:val="center"/>
          </w:tcPr>
          <w:p w14:paraId="658767C7">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29" w:type="dxa"/>
            <w:vAlign w:val="center"/>
          </w:tcPr>
          <w:p w14:paraId="777800D4">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r>
      <w:tr w14:paraId="64433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jc w:val="center"/>
        </w:trPr>
        <w:tc>
          <w:tcPr>
            <w:tcW w:w="945" w:type="dxa"/>
            <w:vAlign w:val="center"/>
          </w:tcPr>
          <w:p w14:paraId="52791B75">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860" w:type="dxa"/>
            <w:vAlign w:val="center"/>
          </w:tcPr>
          <w:p w14:paraId="0DFC6FAA">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678" w:type="dxa"/>
            <w:vAlign w:val="center"/>
          </w:tcPr>
          <w:p w14:paraId="5898AF5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24" w:type="dxa"/>
            <w:vAlign w:val="center"/>
          </w:tcPr>
          <w:p w14:paraId="14773195">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81" w:type="dxa"/>
            <w:vAlign w:val="center"/>
          </w:tcPr>
          <w:p w14:paraId="6FE7B2CA">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29" w:type="dxa"/>
            <w:vAlign w:val="center"/>
          </w:tcPr>
          <w:p w14:paraId="314C46CF">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r>
      <w:tr w14:paraId="2077F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jc w:val="center"/>
        </w:trPr>
        <w:tc>
          <w:tcPr>
            <w:tcW w:w="945" w:type="dxa"/>
            <w:vAlign w:val="center"/>
          </w:tcPr>
          <w:p w14:paraId="0373A5EA">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860" w:type="dxa"/>
            <w:vAlign w:val="center"/>
          </w:tcPr>
          <w:p w14:paraId="71ABB0AB">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678" w:type="dxa"/>
            <w:vAlign w:val="center"/>
          </w:tcPr>
          <w:p w14:paraId="333B5A8C">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24" w:type="dxa"/>
            <w:vAlign w:val="center"/>
          </w:tcPr>
          <w:p w14:paraId="62CF4E76">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81" w:type="dxa"/>
            <w:vAlign w:val="center"/>
          </w:tcPr>
          <w:p w14:paraId="46ECC658">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c>
          <w:tcPr>
            <w:tcW w:w="1529" w:type="dxa"/>
            <w:vAlign w:val="center"/>
          </w:tcPr>
          <w:p w14:paraId="1EB5BFFF">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rPr>
            </w:pPr>
          </w:p>
        </w:tc>
      </w:tr>
    </w:tbl>
    <w:p w14:paraId="4C21AF71">
      <w:pPr>
        <w:keepNext w:val="0"/>
        <w:keepLines w:val="0"/>
        <w:pageBreakBefore w:val="0"/>
        <w:widowControl/>
        <w:kinsoku w:val="0"/>
        <w:wordWrap/>
        <w:overflowPunct/>
        <w:topLinePunct w:val="0"/>
        <w:autoSpaceDE w:val="0"/>
        <w:autoSpaceDN w:val="0"/>
        <w:bidi w:val="0"/>
        <w:adjustRightInd w:val="0"/>
        <w:snapToGrid w:val="0"/>
        <w:spacing w:line="500" w:lineRule="exact"/>
        <w:ind w:left="642"/>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注：1、表后附合同扫描件等。</w:t>
      </w:r>
    </w:p>
    <w:p w14:paraId="482F862F">
      <w:pPr>
        <w:keepNext w:val="0"/>
        <w:keepLines w:val="0"/>
        <w:pageBreakBefore w:val="0"/>
        <w:widowControl/>
        <w:kinsoku w:val="0"/>
        <w:wordWrap/>
        <w:overflowPunct/>
        <w:topLinePunct w:val="0"/>
        <w:autoSpaceDE w:val="0"/>
        <w:autoSpaceDN w:val="0"/>
        <w:bidi w:val="0"/>
        <w:adjustRightInd w:val="0"/>
        <w:snapToGrid w:val="0"/>
        <w:spacing w:line="500" w:lineRule="exact"/>
        <w:ind w:left="111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2、本表具体内容可根据实际情况相应调整。</w:t>
      </w:r>
    </w:p>
    <w:p w14:paraId="3FC7D226">
      <w:pPr>
        <w:pStyle w:val="4"/>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lang w:eastAsia="zh-CN"/>
        </w:rPr>
      </w:pPr>
    </w:p>
    <w:p w14:paraId="6492EA2E">
      <w:pPr>
        <w:keepNext w:val="0"/>
        <w:keepLines w:val="0"/>
        <w:pageBreakBefore w:val="0"/>
        <w:widowControl/>
        <w:kinsoku w:val="0"/>
        <w:wordWrap/>
        <w:overflowPunct/>
        <w:topLinePunct w:val="0"/>
        <w:autoSpaceDE w:val="0"/>
        <w:autoSpaceDN w:val="0"/>
        <w:bidi w:val="0"/>
        <w:adjustRightInd w:val="0"/>
        <w:snapToGrid w:val="0"/>
        <w:spacing w:line="500" w:lineRule="exact"/>
        <w:ind w:left="8000" w:hanging="1923"/>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供应商名称（公章</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 xml:space="preserve"> </w:t>
      </w:r>
      <w:r>
        <w:rPr>
          <w:rFonts w:hint="eastAsia" w:ascii="宋体" w:hAnsi="宋体" w:eastAsia="宋体" w:cs="宋体"/>
          <w:spacing w:val="-39"/>
          <w:sz w:val="24"/>
          <w:szCs w:val="24"/>
          <w:lang w:eastAsia="zh-CN"/>
        </w:rPr>
        <w:t>年</w:t>
      </w:r>
      <w:r>
        <w:rPr>
          <w:rFonts w:hint="eastAsia" w:ascii="宋体" w:hAnsi="宋体" w:eastAsia="宋体" w:cs="宋体"/>
          <w:spacing w:val="28"/>
          <w:sz w:val="24"/>
          <w:szCs w:val="24"/>
          <w:lang w:eastAsia="zh-CN"/>
        </w:rPr>
        <w:t xml:space="preserve"> </w:t>
      </w:r>
      <w:r>
        <w:rPr>
          <w:rFonts w:hint="eastAsia" w:ascii="宋体" w:hAnsi="宋体" w:eastAsia="宋体" w:cs="宋体"/>
          <w:spacing w:val="-39"/>
          <w:sz w:val="24"/>
          <w:szCs w:val="24"/>
          <w:lang w:eastAsia="zh-CN"/>
        </w:rPr>
        <w:t>月</w:t>
      </w:r>
      <w:r>
        <w:rPr>
          <w:rFonts w:hint="eastAsia" w:ascii="宋体" w:hAnsi="宋体" w:eastAsia="宋体" w:cs="宋体"/>
          <w:spacing w:val="67"/>
          <w:sz w:val="24"/>
          <w:szCs w:val="24"/>
          <w:lang w:eastAsia="zh-CN"/>
        </w:rPr>
        <w:t xml:space="preserve"> </w:t>
      </w:r>
      <w:r>
        <w:rPr>
          <w:rFonts w:hint="eastAsia" w:ascii="宋体" w:hAnsi="宋体" w:eastAsia="宋体" w:cs="宋体"/>
          <w:spacing w:val="-39"/>
          <w:sz w:val="24"/>
          <w:szCs w:val="24"/>
          <w:lang w:eastAsia="zh-CN"/>
        </w:rPr>
        <w:t>日</w:t>
      </w:r>
    </w:p>
    <w:p w14:paraId="09F5668F">
      <w:pPr>
        <w:spacing w:line="231" w:lineRule="auto"/>
        <w:rPr>
          <w:rFonts w:hint="eastAsia" w:ascii="宋体" w:hAnsi="宋体" w:eastAsia="宋体" w:cs="宋体"/>
          <w:sz w:val="24"/>
          <w:szCs w:val="24"/>
          <w:lang w:eastAsia="zh-CN"/>
        </w:rPr>
        <w:sectPr>
          <w:pgSz w:w="11922" w:h="16839"/>
          <w:pgMar w:top="1134" w:right="1134" w:bottom="1134" w:left="1134" w:header="1134" w:footer="1134" w:gutter="0"/>
          <w:cols w:space="720" w:num="1"/>
          <w:docGrid w:linePitch="286" w:charSpace="0"/>
        </w:sectPr>
      </w:pPr>
    </w:p>
    <w:p w14:paraId="0E124A03">
      <w:pPr>
        <w:spacing w:before="250" w:line="226" w:lineRule="auto"/>
        <w:jc w:val="center"/>
        <w:outlineLvl w:val="0"/>
        <w:rPr>
          <w:rFonts w:hint="eastAsia" w:ascii="宋体" w:hAnsi="宋体" w:eastAsia="宋体" w:cs="宋体"/>
          <w:sz w:val="35"/>
          <w:szCs w:val="35"/>
          <w:lang w:eastAsia="zh-CN"/>
        </w:rPr>
      </w:pPr>
      <w:bookmarkStart w:id="19" w:name="_Toc29336"/>
      <w:bookmarkStart w:id="20" w:name="_Toc31908"/>
      <w:r>
        <w:rPr>
          <w:rFonts w:hint="eastAsia" w:ascii="宋体" w:hAnsi="宋体" w:eastAsia="宋体" w:cs="宋体"/>
          <w:spacing w:val="9"/>
          <w:sz w:val="35"/>
          <w:szCs w:val="35"/>
          <w:lang w:eastAsia="zh-CN"/>
          <w14:textOutline w14:w="6540" w14:cap="sq" w14:cmpd="sng" w14:algn="ctr">
            <w14:solidFill>
              <w14:srgbClr w14:val="000000"/>
            </w14:solidFill>
            <w14:prstDash w14:val="solid"/>
            <w14:bevel/>
          </w14:textOutline>
        </w:rPr>
        <w:t>第五章</w:t>
      </w:r>
      <w:r>
        <w:rPr>
          <w:rFonts w:hint="eastAsia" w:ascii="宋体" w:hAnsi="宋体" w:eastAsia="宋体" w:cs="宋体"/>
          <w:spacing w:val="9"/>
          <w:sz w:val="35"/>
          <w:szCs w:val="35"/>
          <w:lang w:eastAsia="zh-CN"/>
        </w:rPr>
        <w:t xml:space="preserve"> </w:t>
      </w:r>
      <w:r>
        <w:rPr>
          <w:rFonts w:hint="eastAsia" w:ascii="宋体" w:hAnsi="宋体" w:eastAsia="宋体" w:cs="宋体"/>
          <w:spacing w:val="9"/>
          <w:sz w:val="35"/>
          <w:szCs w:val="35"/>
          <w:lang w:eastAsia="zh-CN"/>
          <w14:textOutline w14:w="6540" w14:cap="sq" w14:cmpd="sng" w14:algn="ctr">
            <w14:solidFill>
              <w14:srgbClr w14:val="000000"/>
            </w14:solidFill>
            <w14:prstDash w14:val="solid"/>
            <w14:bevel/>
          </w14:textOutline>
        </w:rPr>
        <w:t>人员配备及服务方案</w:t>
      </w:r>
      <w:bookmarkEnd w:id="19"/>
      <w:bookmarkEnd w:id="20"/>
    </w:p>
    <w:p w14:paraId="5F395876">
      <w:pPr>
        <w:pStyle w:val="4"/>
        <w:spacing w:line="290" w:lineRule="auto"/>
        <w:rPr>
          <w:rFonts w:hint="eastAsia" w:ascii="宋体" w:hAnsi="宋体" w:eastAsia="宋体" w:cs="宋体"/>
          <w:lang w:eastAsia="zh-CN"/>
        </w:rPr>
      </w:pPr>
    </w:p>
    <w:p w14:paraId="5F2E4FA4">
      <w:pPr>
        <w:pStyle w:val="4"/>
        <w:spacing w:line="291" w:lineRule="auto"/>
        <w:rPr>
          <w:rFonts w:hint="eastAsia" w:ascii="宋体" w:hAnsi="宋体" w:eastAsia="宋体" w:cs="宋体"/>
          <w:lang w:eastAsia="zh-CN"/>
        </w:rPr>
      </w:pPr>
    </w:p>
    <w:p w14:paraId="0DD7090A">
      <w:pPr>
        <w:spacing w:before="91" w:line="239" w:lineRule="auto"/>
        <w:jc w:val="center"/>
        <w:rPr>
          <w:rFonts w:hint="eastAsia" w:ascii="宋体" w:hAnsi="宋体" w:eastAsia="宋体" w:cs="宋体"/>
          <w:spacing w:val="-1"/>
          <w:sz w:val="28"/>
          <w:szCs w:val="28"/>
          <w:lang w:eastAsia="zh-CN"/>
          <w14:textOutline w14:w="5105" w14:cap="sq" w14:cmpd="sng" w14:algn="ctr">
            <w14:solidFill>
              <w14:srgbClr w14:val="000000"/>
            </w14:solidFill>
            <w14:prstDash w14:val="solid"/>
            <w14:bevel/>
          </w14:textOutline>
        </w:rPr>
      </w:pPr>
      <w:r>
        <w:rPr>
          <w:rFonts w:hint="eastAsia" w:ascii="宋体" w:hAnsi="宋体" w:eastAsia="宋体" w:cs="宋体"/>
          <w:spacing w:val="-1"/>
          <w:sz w:val="28"/>
          <w:szCs w:val="28"/>
          <w:lang w:eastAsia="zh-CN"/>
          <w14:textOutline w14:w="5105" w14:cap="sq" w14:cmpd="sng" w14:algn="ctr">
            <w14:solidFill>
              <w14:srgbClr w14:val="000000"/>
            </w14:solidFill>
            <w14:prstDash w14:val="solid"/>
            <w14:bevel/>
          </w14:textOutline>
        </w:rPr>
        <w:t>一、人员配备（格式自拟）</w:t>
      </w:r>
    </w:p>
    <w:p w14:paraId="3135BC84">
      <w:pPr>
        <w:pStyle w:val="11"/>
        <w:ind w:left="0" w:leftChars="0"/>
        <w:rPr>
          <w:rFonts w:hint="eastAsia" w:ascii="宋体" w:hAnsi="宋体" w:eastAsia="宋体" w:cs="宋体"/>
          <w:lang w:eastAsia="zh-CN"/>
        </w:rPr>
      </w:pPr>
    </w:p>
    <w:p w14:paraId="0AF8155E">
      <w:pPr>
        <w:spacing w:line="221" w:lineRule="auto"/>
        <w:jc w:val="center"/>
        <w:rPr>
          <w:rFonts w:hint="eastAsia" w:ascii="宋体" w:hAnsi="宋体" w:eastAsia="宋体" w:cs="宋体"/>
          <w:sz w:val="28"/>
          <w:szCs w:val="28"/>
          <w:lang w:eastAsia="zh-CN"/>
        </w:rPr>
      </w:pPr>
      <w:r>
        <w:rPr>
          <w:rFonts w:hint="eastAsia" w:ascii="宋体" w:hAnsi="宋体" w:eastAsia="宋体" w:cs="宋体"/>
          <w:spacing w:val="-1"/>
          <w:sz w:val="28"/>
          <w:szCs w:val="28"/>
          <w:lang w:eastAsia="zh-CN"/>
          <w14:textOutline w14:w="5105" w14:cap="sq" w14:cmpd="sng" w14:algn="ctr">
            <w14:solidFill>
              <w14:srgbClr w14:val="000000"/>
            </w14:solidFill>
            <w14:prstDash w14:val="solid"/>
            <w14:bevel/>
          </w14:textOutline>
        </w:rPr>
        <w:t>二、服务方案（格式自拟）</w:t>
      </w:r>
    </w:p>
    <w:p w14:paraId="6897B833">
      <w:pPr>
        <w:spacing w:line="221" w:lineRule="auto"/>
        <w:rPr>
          <w:rFonts w:hint="eastAsia" w:ascii="宋体" w:hAnsi="宋体" w:eastAsia="宋体" w:cs="宋体"/>
          <w:sz w:val="28"/>
          <w:szCs w:val="28"/>
          <w:lang w:eastAsia="zh-CN"/>
        </w:rPr>
        <w:sectPr>
          <w:pgSz w:w="11922" w:h="16839"/>
          <w:pgMar w:top="1134" w:right="1134" w:bottom="1134" w:left="1134" w:header="1134" w:footer="1134" w:gutter="0"/>
          <w:cols w:space="720" w:num="1"/>
          <w:docGrid w:linePitch="286" w:charSpace="0"/>
        </w:sectPr>
      </w:pPr>
    </w:p>
    <w:p w14:paraId="7C2D14C8">
      <w:pPr>
        <w:spacing w:before="72" w:line="227" w:lineRule="auto"/>
        <w:jc w:val="center"/>
        <w:outlineLvl w:val="0"/>
        <w:rPr>
          <w:rFonts w:hint="eastAsia" w:ascii="宋体" w:hAnsi="宋体" w:eastAsia="宋体" w:cs="宋体"/>
          <w:sz w:val="35"/>
          <w:szCs w:val="35"/>
          <w:lang w:eastAsia="zh-CN"/>
        </w:rPr>
        <w:sectPr>
          <w:pgSz w:w="11922" w:h="16839"/>
          <w:pgMar w:top="1134" w:right="1134" w:bottom="1134" w:left="1134" w:header="1134" w:footer="1134" w:gutter="0"/>
          <w:cols w:space="720" w:num="1"/>
          <w:docGrid w:linePitch="286" w:charSpace="0"/>
        </w:sectPr>
      </w:pPr>
      <w:bookmarkStart w:id="21" w:name="_Toc7300"/>
      <w:bookmarkStart w:id="22" w:name="_Toc11586"/>
      <w:r>
        <w:rPr>
          <w:rFonts w:hint="eastAsia" w:ascii="宋体" w:hAnsi="宋体" w:eastAsia="宋体" w:cs="宋体"/>
          <w:spacing w:val="10"/>
          <w:sz w:val="35"/>
          <w:szCs w:val="35"/>
          <w:lang w:eastAsia="zh-CN"/>
          <w14:textOutline w14:w="6540" w14:cap="sq" w14:cmpd="sng" w14:algn="ctr">
            <w14:solidFill>
              <w14:srgbClr w14:val="000000"/>
            </w14:solidFill>
            <w14:prstDash w14:val="solid"/>
            <w14:bevel/>
          </w14:textOutline>
        </w:rPr>
        <w:t>第六章</w:t>
      </w:r>
      <w:r>
        <w:rPr>
          <w:rFonts w:hint="eastAsia" w:ascii="宋体" w:hAnsi="宋体" w:eastAsia="宋体" w:cs="宋体"/>
          <w:spacing w:val="10"/>
          <w:sz w:val="35"/>
          <w:szCs w:val="35"/>
          <w:lang w:eastAsia="zh-CN"/>
        </w:rPr>
        <w:t xml:space="preserve"> </w:t>
      </w:r>
      <w:r>
        <w:rPr>
          <w:rFonts w:hint="eastAsia" w:ascii="宋体" w:hAnsi="宋体" w:eastAsia="宋体" w:cs="宋体"/>
          <w:spacing w:val="10"/>
          <w:sz w:val="35"/>
          <w:szCs w:val="35"/>
          <w:lang w:eastAsia="zh-CN"/>
          <w14:textOutline w14:w="6540" w14:cap="sq" w14:cmpd="sng" w14:algn="ctr">
            <w14:solidFill>
              <w14:srgbClr w14:val="000000"/>
            </w14:solidFill>
            <w14:prstDash w14:val="solid"/>
            <w14:bevel/>
          </w14:textOutline>
        </w:rPr>
        <w:t>供应商认为需要提交的其他材料</w:t>
      </w:r>
      <w:bookmarkEnd w:id="21"/>
      <w:bookmarkEnd w:id="22"/>
    </w:p>
    <w:p w14:paraId="42DABB63">
      <w:pPr>
        <w:pStyle w:val="6"/>
        <w:spacing w:line="360" w:lineRule="auto"/>
        <w:ind w:left="0" w:leftChars="0"/>
        <w:rPr>
          <w:rFonts w:hint="eastAsia" w:ascii="宋体" w:hAnsi="宋体" w:eastAsia="宋体" w:cs="宋体"/>
          <w:snapToGrid w:val="0"/>
          <w:color w:val="000000"/>
          <w:spacing w:val="10"/>
          <w:kern w:val="0"/>
          <w:sz w:val="35"/>
          <w:szCs w:val="35"/>
          <w:lang w:val="en-US" w:eastAsia="zh-CN" w:bidi="ar-SA"/>
          <w14:textOutline w14:w="6540" w14:cap="sq" w14:cmpd="sng" w14:algn="ctr">
            <w14:solidFill>
              <w14:srgbClr w14:val="000000"/>
            </w14:solidFill>
            <w14:prstDash w14:val="solid"/>
            <w14:bevel/>
          </w14:textOutline>
        </w:rPr>
      </w:pPr>
      <w:bookmarkStart w:id="23" w:name="bookmark6"/>
      <w:bookmarkEnd w:id="23"/>
      <w:bookmarkStart w:id="24" w:name="bookmark7"/>
      <w:bookmarkEnd w:id="24"/>
      <w:r>
        <w:rPr>
          <w:rFonts w:hint="eastAsia" w:ascii="宋体" w:hAnsi="宋体" w:eastAsia="宋体" w:cs="宋体"/>
          <w:snapToGrid w:val="0"/>
          <w:color w:val="000000"/>
          <w:spacing w:val="10"/>
          <w:kern w:val="0"/>
          <w:sz w:val="35"/>
          <w:szCs w:val="35"/>
          <w:lang w:val="en-US" w:eastAsia="zh-CN" w:bidi="ar-SA"/>
          <w14:textOutline w14:w="6540" w14:cap="sq" w14:cmpd="sng" w14:algn="ctr">
            <w14:solidFill>
              <w14:srgbClr w14:val="000000"/>
            </w14:solidFill>
            <w14:prstDash w14:val="solid"/>
            <w14:bevel/>
          </w14:textOutline>
        </w:rPr>
        <w:t>附件</w:t>
      </w:r>
    </w:p>
    <w:p w14:paraId="0C2CDE4F">
      <w:pPr>
        <w:pStyle w:val="6"/>
        <w:snapToGrid w:val="0"/>
        <w:spacing w:after="60" w:line="312" w:lineRule="auto"/>
        <w:ind w:left="0" w:leftChars="0"/>
        <w:jc w:val="center"/>
        <w:rPr>
          <w:rFonts w:hint="eastAsia" w:ascii="宋体" w:hAnsi="宋体" w:eastAsia="宋体" w:cs="宋体"/>
          <w:color w:val="auto"/>
          <w:highlight w:val="none"/>
        </w:rPr>
      </w:pPr>
      <w:r>
        <w:rPr>
          <w:rFonts w:hint="eastAsia" w:ascii="宋体" w:hAnsi="宋体" w:eastAsia="宋体" w:cs="宋体"/>
          <w:b/>
          <w:bCs/>
          <w:color w:val="auto"/>
          <w:kern w:val="2"/>
          <w:sz w:val="30"/>
          <w:szCs w:val="30"/>
          <w:highlight w:val="none"/>
        </w:rPr>
        <w:t>密封及密封套格式</w:t>
      </w:r>
    </w:p>
    <w:tbl>
      <w:tblPr>
        <w:tblStyle w:val="15"/>
        <w:tblW w:w="96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5"/>
        <w:gridCol w:w="4794"/>
      </w:tblGrid>
      <w:tr w14:paraId="7B8A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3" w:hRule="atLeast"/>
        </w:trPr>
        <w:tc>
          <w:tcPr>
            <w:tcW w:w="4885" w:type="dxa"/>
            <w:noWrap w:val="0"/>
            <w:vAlign w:val="top"/>
          </w:tcPr>
          <w:p w14:paraId="410A39D5">
            <w:pPr>
              <w:pStyle w:val="6"/>
              <w:spacing w:line="360" w:lineRule="auto"/>
              <w:ind w:left="420" w:firstLine="470"/>
              <w:jc w:val="left"/>
              <w:rPr>
                <w:rFonts w:hint="eastAsia" w:ascii="宋体" w:hAnsi="宋体" w:eastAsia="宋体" w:cs="宋体"/>
                <w:color w:val="auto"/>
                <w:sz w:val="22"/>
                <w:szCs w:val="22"/>
                <w:highlight w:val="none"/>
              </w:rPr>
            </w:pPr>
          </w:p>
          <w:p w14:paraId="44971350">
            <w:pPr>
              <w:pStyle w:val="6"/>
              <w:snapToGrid w:val="0"/>
              <w:spacing w:after="300" w:line="360" w:lineRule="auto"/>
              <w:ind w:left="0" w:leftChars="0"/>
              <w:jc w:val="center"/>
              <w:rPr>
                <w:rFonts w:hint="eastAsia" w:ascii="宋体" w:hAnsi="宋体" w:eastAsia="宋体" w:cs="宋体"/>
                <w:b/>
                <w:color w:val="auto"/>
                <w:sz w:val="26"/>
                <w:szCs w:val="26"/>
                <w:highlight w:val="none"/>
              </w:rPr>
            </w:pPr>
            <w:r>
              <w:rPr>
                <w:rFonts w:hint="eastAsia" w:ascii="宋体" w:hAnsi="宋体" w:eastAsia="宋体" w:cs="宋体"/>
                <w:b/>
                <w:color w:val="auto"/>
                <w:sz w:val="26"/>
                <w:szCs w:val="26"/>
                <w:highlight w:val="none"/>
              </w:rPr>
              <w:t>响应文件</w:t>
            </w:r>
          </w:p>
          <w:p w14:paraId="5E023C6D">
            <w:pPr>
              <w:pStyle w:val="6"/>
              <w:snapToGrid w:val="0"/>
              <w:spacing w:after="300" w:line="360" w:lineRule="auto"/>
              <w:ind w:left="0" w:leftChars="0"/>
              <w:jc w:val="center"/>
              <w:rPr>
                <w:rFonts w:hint="eastAsia" w:ascii="宋体" w:hAnsi="宋体" w:eastAsia="宋体" w:cs="宋体"/>
                <w:b/>
                <w:color w:val="auto"/>
                <w:sz w:val="26"/>
                <w:szCs w:val="26"/>
                <w:highlight w:val="none"/>
              </w:rPr>
            </w:pPr>
            <w:r>
              <w:rPr>
                <w:rFonts w:hint="eastAsia" w:ascii="宋体" w:hAnsi="宋体" w:eastAsia="宋体" w:cs="宋体"/>
                <w:b/>
                <w:color w:val="auto"/>
                <w:sz w:val="26"/>
                <w:szCs w:val="26"/>
                <w:highlight w:val="none"/>
              </w:rPr>
              <w:t>（正本）</w:t>
            </w:r>
          </w:p>
          <w:p w14:paraId="3D619BF4">
            <w:pPr>
              <w:pStyle w:val="6"/>
              <w:spacing w:line="360" w:lineRule="auto"/>
              <w:ind w:left="0" w:left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p w14:paraId="6437D4BD">
            <w:pPr>
              <w:pStyle w:val="6"/>
              <w:spacing w:line="360" w:lineRule="auto"/>
              <w:ind w:left="0" w:lef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供应商名称（公章）：</w:t>
            </w:r>
          </w:p>
          <w:p w14:paraId="304A1A0B">
            <w:pPr>
              <w:pStyle w:val="6"/>
              <w:spacing w:line="360" w:lineRule="auto"/>
              <w:ind w:left="0" w:lef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p>
          <w:p w14:paraId="12B8777C">
            <w:pPr>
              <w:pStyle w:val="6"/>
              <w:spacing w:line="360" w:lineRule="auto"/>
              <w:ind w:left="0" w:left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c>
          <w:tcPr>
            <w:tcW w:w="4794" w:type="dxa"/>
            <w:noWrap w:val="0"/>
            <w:vAlign w:val="top"/>
          </w:tcPr>
          <w:p w14:paraId="3029E764">
            <w:pPr>
              <w:pStyle w:val="6"/>
              <w:spacing w:line="360" w:lineRule="auto"/>
              <w:ind w:left="420" w:firstLine="470"/>
              <w:jc w:val="left"/>
              <w:rPr>
                <w:rFonts w:hint="eastAsia" w:ascii="宋体" w:hAnsi="宋体" w:eastAsia="宋体" w:cs="宋体"/>
                <w:color w:val="auto"/>
                <w:sz w:val="22"/>
                <w:szCs w:val="22"/>
                <w:highlight w:val="none"/>
              </w:rPr>
            </w:pPr>
          </w:p>
          <w:p w14:paraId="437893FE">
            <w:pPr>
              <w:pStyle w:val="6"/>
              <w:snapToGrid w:val="0"/>
              <w:spacing w:after="300" w:line="360" w:lineRule="auto"/>
              <w:ind w:left="0" w:leftChars="0"/>
              <w:jc w:val="center"/>
              <w:rPr>
                <w:rFonts w:hint="eastAsia" w:ascii="宋体" w:hAnsi="宋体" w:eastAsia="宋体" w:cs="宋体"/>
                <w:b/>
                <w:color w:val="auto"/>
                <w:sz w:val="26"/>
                <w:szCs w:val="26"/>
                <w:highlight w:val="none"/>
              </w:rPr>
            </w:pPr>
            <w:r>
              <w:rPr>
                <w:rFonts w:hint="eastAsia" w:ascii="宋体" w:hAnsi="宋体" w:eastAsia="宋体" w:cs="宋体"/>
                <w:b/>
                <w:color w:val="auto"/>
                <w:sz w:val="26"/>
                <w:szCs w:val="26"/>
                <w:highlight w:val="none"/>
              </w:rPr>
              <w:t>响应文件</w:t>
            </w:r>
          </w:p>
          <w:p w14:paraId="24E81E60">
            <w:pPr>
              <w:pStyle w:val="6"/>
              <w:snapToGrid w:val="0"/>
              <w:spacing w:after="300" w:line="360" w:lineRule="auto"/>
              <w:ind w:left="0" w:leftChars="0"/>
              <w:jc w:val="center"/>
              <w:rPr>
                <w:rFonts w:hint="eastAsia" w:ascii="宋体" w:hAnsi="宋体" w:eastAsia="宋体" w:cs="宋体"/>
                <w:color w:val="auto"/>
                <w:highlight w:val="none"/>
              </w:rPr>
            </w:pPr>
            <w:r>
              <w:rPr>
                <w:rFonts w:hint="eastAsia" w:ascii="宋体" w:hAnsi="宋体" w:eastAsia="宋体" w:cs="宋体"/>
                <w:b/>
                <w:color w:val="auto"/>
                <w:sz w:val="26"/>
                <w:szCs w:val="26"/>
                <w:highlight w:val="none"/>
              </w:rPr>
              <w:t>（副本）</w:t>
            </w:r>
          </w:p>
          <w:p w14:paraId="7804649D">
            <w:pPr>
              <w:pStyle w:val="6"/>
              <w:spacing w:line="360" w:lineRule="auto"/>
              <w:ind w:left="0" w:left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p w14:paraId="4FF2C357">
            <w:pPr>
              <w:pStyle w:val="6"/>
              <w:spacing w:line="360" w:lineRule="auto"/>
              <w:ind w:left="0" w:lef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供应商名称（公章）：</w:t>
            </w:r>
          </w:p>
          <w:p w14:paraId="5A798ABD">
            <w:pPr>
              <w:pStyle w:val="6"/>
              <w:spacing w:line="360" w:lineRule="auto"/>
              <w:ind w:left="0" w:lef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p>
          <w:p w14:paraId="6E84102E">
            <w:pPr>
              <w:pStyle w:val="6"/>
              <w:spacing w:line="360" w:lineRule="auto"/>
              <w:ind w:left="0" w:left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r>
    </w:tbl>
    <w:p w14:paraId="25CEED95">
      <w:pPr>
        <w:pStyle w:val="6"/>
        <w:spacing w:line="360" w:lineRule="auto"/>
        <w:ind w:left="420" w:firstLine="470"/>
        <w:rPr>
          <w:rFonts w:hint="eastAsia" w:ascii="宋体" w:hAnsi="宋体" w:eastAsia="宋体" w:cs="宋体"/>
          <w:color w:val="auto"/>
          <w:sz w:val="22"/>
          <w:szCs w:val="22"/>
          <w:highlight w:val="none"/>
        </w:rPr>
      </w:pPr>
    </w:p>
    <w:tbl>
      <w:tblPr>
        <w:tblStyle w:val="15"/>
        <w:tblW w:w="96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2"/>
        <w:gridCol w:w="4767"/>
      </w:tblGrid>
      <w:tr w14:paraId="3C58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3" w:hRule="atLeast"/>
        </w:trPr>
        <w:tc>
          <w:tcPr>
            <w:tcW w:w="4912" w:type="dxa"/>
            <w:tcBorders>
              <w:bottom w:val="single" w:color="auto" w:sz="4" w:space="0"/>
            </w:tcBorders>
            <w:noWrap w:val="0"/>
            <w:vAlign w:val="top"/>
          </w:tcPr>
          <w:p w14:paraId="217CA6DD">
            <w:pPr>
              <w:pStyle w:val="6"/>
              <w:spacing w:line="360" w:lineRule="auto"/>
              <w:ind w:left="420" w:firstLine="589"/>
              <w:jc w:val="center"/>
              <w:rPr>
                <w:rFonts w:hint="eastAsia" w:ascii="宋体" w:hAnsi="宋体" w:eastAsia="宋体" w:cs="宋体"/>
                <w:b/>
                <w:color w:val="auto"/>
                <w:sz w:val="22"/>
                <w:szCs w:val="22"/>
                <w:highlight w:val="none"/>
              </w:rPr>
            </w:pPr>
          </w:p>
          <w:p w14:paraId="6CD15B25">
            <w:pPr>
              <w:pStyle w:val="6"/>
              <w:snapToGrid w:val="0"/>
              <w:spacing w:after="300" w:line="360" w:lineRule="auto"/>
              <w:ind w:left="0" w:leftChars="0"/>
              <w:jc w:val="center"/>
              <w:rPr>
                <w:rFonts w:hint="eastAsia" w:ascii="宋体" w:hAnsi="宋体" w:eastAsia="宋体" w:cs="宋体"/>
                <w:sz w:val="24"/>
                <w:szCs w:val="24"/>
              </w:rPr>
            </w:pPr>
            <w:r>
              <w:rPr>
                <w:rFonts w:hint="eastAsia" w:ascii="宋体" w:hAnsi="宋体" w:eastAsia="宋体" w:cs="宋体"/>
                <w:b/>
                <w:color w:val="auto"/>
                <w:sz w:val="26"/>
                <w:szCs w:val="26"/>
                <w:highlight w:val="none"/>
              </w:rPr>
              <w:t>代理项目案例</w:t>
            </w:r>
          </w:p>
          <w:p w14:paraId="27951C5B">
            <w:pPr>
              <w:pStyle w:val="6"/>
              <w:spacing w:line="360" w:lineRule="auto"/>
              <w:ind w:left="0" w:left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p w14:paraId="36726F2A">
            <w:pPr>
              <w:pStyle w:val="6"/>
              <w:spacing w:line="360" w:lineRule="auto"/>
              <w:ind w:left="0" w:lef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供应商名称（公章）：</w:t>
            </w:r>
          </w:p>
          <w:p w14:paraId="7B753D12">
            <w:pPr>
              <w:pStyle w:val="6"/>
              <w:spacing w:line="360" w:lineRule="auto"/>
              <w:ind w:left="0" w:lef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p>
          <w:p w14:paraId="570F7A85">
            <w:pPr>
              <w:pStyle w:val="6"/>
              <w:spacing w:line="360" w:lineRule="auto"/>
              <w:ind w:left="0" w:left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c>
          <w:tcPr>
            <w:tcW w:w="4767" w:type="dxa"/>
            <w:tcBorders>
              <w:bottom w:val="single" w:color="auto" w:sz="4" w:space="0"/>
            </w:tcBorders>
            <w:noWrap w:val="0"/>
            <w:vAlign w:val="top"/>
          </w:tcPr>
          <w:p w14:paraId="321426A7">
            <w:pPr>
              <w:pStyle w:val="6"/>
              <w:spacing w:line="360" w:lineRule="auto"/>
              <w:ind w:left="0" w:leftChars="0"/>
              <w:jc w:val="left"/>
              <w:rPr>
                <w:rFonts w:hint="eastAsia" w:ascii="宋体" w:hAnsi="宋体" w:eastAsia="宋体" w:cs="宋体"/>
                <w:b/>
                <w:color w:val="auto"/>
                <w:sz w:val="22"/>
                <w:szCs w:val="22"/>
                <w:highlight w:val="none"/>
              </w:rPr>
            </w:pPr>
          </w:p>
          <w:p w14:paraId="4CD5485F">
            <w:pPr>
              <w:pStyle w:val="6"/>
              <w:snapToGrid w:val="0"/>
              <w:spacing w:after="300" w:line="360" w:lineRule="auto"/>
              <w:ind w:left="0" w:leftChars="0"/>
              <w:jc w:val="center"/>
              <w:rPr>
                <w:rFonts w:hint="eastAsia" w:ascii="宋体" w:hAnsi="宋体" w:eastAsia="宋体" w:cs="宋体"/>
                <w:color w:val="auto"/>
                <w:sz w:val="26"/>
                <w:szCs w:val="26"/>
                <w:highlight w:val="none"/>
              </w:rPr>
            </w:pPr>
            <w:r>
              <w:rPr>
                <w:rFonts w:hint="eastAsia" w:ascii="宋体" w:hAnsi="宋体" w:eastAsia="宋体" w:cs="宋体"/>
                <w:b/>
                <w:color w:val="auto"/>
                <w:sz w:val="26"/>
                <w:szCs w:val="26"/>
                <w:highlight w:val="none"/>
              </w:rPr>
              <w:t>电子响应文件</w:t>
            </w:r>
          </w:p>
          <w:p w14:paraId="5390A793">
            <w:pPr>
              <w:pStyle w:val="6"/>
              <w:spacing w:line="360" w:lineRule="auto"/>
              <w:ind w:left="0" w:left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p w14:paraId="27F35144">
            <w:pPr>
              <w:pStyle w:val="6"/>
              <w:spacing w:line="360" w:lineRule="auto"/>
              <w:ind w:left="0" w:lef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供应商名称（公章）：</w:t>
            </w:r>
          </w:p>
          <w:p w14:paraId="65BF9F2D">
            <w:pPr>
              <w:pStyle w:val="6"/>
              <w:spacing w:line="360" w:lineRule="auto"/>
              <w:ind w:left="0" w:lef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p>
          <w:p w14:paraId="51BC5A18">
            <w:pPr>
              <w:pStyle w:val="6"/>
              <w:spacing w:line="360" w:lineRule="auto"/>
              <w:ind w:left="0" w:left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r>
    </w:tbl>
    <w:p w14:paraId="1FFB892F">
      <w:pPr>
        <w:pStyle w:val="6"/>
        <w:snapToGrid w:val="0"/>
        <w:spacing w:before="60" w:after="60"/>
        <w:ind w:left="0" w:leftChars="0"/>
        <w:jc w:val="center"/>
        <w:rPr>
          <w:rFonts w:hint="eastAsia" w:ascii="宋体" w:hAnsi="宋体" w:eastAsia="宋体" w:cs="宋体"/>
          <w:b/>
          <w:bCs/>
          <w:color w:val="auto"/>
          <w:kern w:val="2"/>
          <w:sz w:val="24"/>
          <w:szCs w:val="24"/>
          <w:highlight w:val="none"/>
        </w:rPr>
      </w:pPr>
    </w:p>
    <w:p w14:paraId="02C6359D">
      <w:pPr>
        <w:rPr>
          <w:rFonts w:hint="eastAsia" w:ascii="宋体" w:hAnsi="宋体" w:eastAsia="宋体" w:cs="宋体"/>
          <w:color w:val="auto"/>
          <w:highlight w:val="none"/>
        </w:rPr>
      </w:pPr>
    </w:p>
    <w:tbl>
      <w:tblPr>
        <w:tblStyle w:val="15"/>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0"/>
      </w:tblGrid>
      <w:tr w14:paraId="1D72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9660" w:type="dxa"/>
            <w:tcBorders>
              <w:bottom w:val="single" w:color="auto" w:sz="4" w:space="0"/>
            </w:tcBorders>
            <w:noWrap w:val="0"/>
            <w:vAlign w:val="center"/>
          </w:tcPr>
          <w:p w14:paraId="7FB7C43C">
            <w:pPr>
              <w:jc w:val="center"/>
              <w:rPr>
                <w:rFonts w:hint="eastAsia" w:ascii="宋体" w:hAnsi="宋体" w:eastAsia="宋体" w:cs="宋体"/>
                <w:color w:val="auto"/>
                <w:highlight w:val="none"/>
              </w:rPr>
            </w:pPr>
            <w:r>
              <w:rPr>
                <w:rFonts w:hint="eastAsia" w:ascii="宋体" w:hAnsi="宋体" w:eastAsia="宋体" w:cs="宋体"/>
                <w:color w:val="auto"/>
                <w:highlight w:val="none"/>
              </w:rPr>
              <w:t>…………………………………于   年  月  日   时之前不准启封（公章）…………………………</w:t>
            </w:r>
          </w:p>
        </w:tc>
      </w:tr>
    </w:tbl>
    <w:p w14:paraId="70DA5D23">
      <w:pPr>
        <w:autoSpaceDE w:val="0"/>
        <w:autoSpaceDN w:val="0"/>
        <w:adjustRightInd w:val="0"/>
        <w:rPr>
          <w:rFonts w:hint="eastAsia" w:ascii="宋体" w:hAnsi="宋体" w:eastAsia="宋体" w:cs="宋体"/>
          <w:color w:val="auto"/>
          <w:kern w:val="0"/>
          <w:highlight w:val="none"/>
        </w:rPr>
      </w:pPr>
    </w:p>
    <w:p w14:paraId="7214B83D">
      <w:pPr>
        <w:spacing w:line="360" w:lineRule="auto"/>
        <w:rPr>
          <w:rFonts w:hint="eastAsia" w:ascii="宋体" w:hAnsi="宋体" w:eastAsia="宋体" w:cs="宋体"/>
          <w:sz w:val="24"/>
          <w:szCs w:val="24"/>
          <w:lang w:eastAsia="zh-CN"/>
        </w:rPr>
      </w:pPr>
    </w:p>
    <w:sectPr>
      <w:pgSz w:w="11922" w:h="16839"/>
      <w:pgMar w:top="1134" w:right="1134" w:bottom="1134" w:left="1134" w:header="1134" w:footer="1134"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950572"/>
      <w:docPartObj>
        <w:docPartGallery w:val="autotext"/>
      </w:docPartObj>
    </w:sdtPr>
    <w:sdtEndPr>
      <w:rPr>
        <w:rFonts w:ascii="宋体" w:hAnsi="宋体" w:eastAsia="宋体"/>
        <w:sz w:val="21"/>
      </w:rPr>
    </w:sdtEndPr>
    <w:sdtContent>
      <w:p w14:paraId="7144F79D">
        <w:pPr>
          <w:pStyle w:val="5"/>
          <w:jc w:val="center"/>
          <w:rPr>
            <w:rFonts w:hint="eastAsia" w:ascii="宋体" w:hAnsi="宋体" w:eastAsia="宋体"/>
            <w:sz w:val="21"/>
          </w:rPr>
        </w:pPr>
        <w:r>
          <w:rPr>
            <w:rFonts w:ascii="宋体" w:hAnsi="宋体" w:eastAsia="宋体"/>
            <w:sz w:val="21"/>
          </w:rPr>
          <w:fldChar w:fldCharType="begin"/>
        </w:r>
        <w:r>
          <w:rPr>
            <w:rFonts w:ascii="宋体" w:hAnsi="宋体" w:eastAsia="宋体"/>
            <w:sz w:val="21"/>
          </w:rPr>
          <w:instrText xml:space="preserve">PAGE   \* MERGEFORMAT</w:instrText>
        </w:r>
        <w:r>
          <w:rPr>
            <w:rFonts w:ascii="宋体" w:hAnsi="宋体" w:eastAsia="宋体"/>
            <w:sz w:val="21"/>
          </w:rPr>
          <w:fldChar w:fldCharType="separate"/>
        </w:r>
        <w:r>
          <w:rPr>
            <w:rFonts w:ascii="宋体" w:hAnsi="宋体" w:eastAsia="宋体"/>
            <w:sz w:val="21"/>
            <w:lang w:val="zh-CN" w:eastAsia="zh-CN"/>
          </w:rPr>
          <w:t>45</w:t>
        </w:r>
        <w:r>
          <w:rPr>
            <w:rFonts w:ascii="宋体" w:hAnsi="宋体" w:eastAsia="宋体"/>
            <w:sz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B8E1D"/>
    <w:multiLevelType w:val="singleLevel"/>
    <w:tmpl w:val="8C8B8E1D"/>
    <w:lvl w:ilvl="0" w:tentative="0">
      <w:start w:val="5"/>
      <w:numFmt w:val="decimal"/>
      <w:suff w:val="space"/>
      <w:lvlText w:val="%1."/>
      <w:lvlJc w:val="left"/>
    </w:lvl>
  </w:abstractNum>
  <w:abstractNum w:abstractNumId="1">
    <w:nsid w:val="A094E1EE"/>
    <w:multiLevelType w:val="singleLevel"/>
    <w:tmpl w:val="A094E1EE"/>
    <w:lvl w:ilvl="0" w:tentative="0">
      <w:start w:val="2"/>
      <w:numFmt w:val="decimal"/>
      <w:suff w:val="nothing"/>
      <w:lvlText w:val="（%1）"/>
      <w:lvlJc w:val="left"/>
    </w:lvl>
  </w:abstractNum>
  <w:abstractNum w:abstractNumId="2">
    <w:nsid w:val="F4C9654F"/>
    <w:multiLevelType w:val="singleLevel"/>
    <w:tmpl w:val="F4C9654F"/>
    <w:lvl w:ilvl="0" w:tentative="0">
      <w:start w:val="7"/>
      <w:numFmt w:val="decimal"/>
      <w:suff w:val="space"/>
      <w:lvlText w:val="%1."/>
      <w:lvlJc w:val="left"/>
    </w:lvl>
  </w:abstractNum>
  <w:abstractNum w:abstractNumId="3">
    <w:nsid w:val="1B3E0B68"/>
    <w:multiLevelType w:val="singleLevel"/>
    <w:tmpl w:val="1B3E0B68"/>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VmNmNiMDg2YTljNTU3MDMwNDBhNTM4NTJjMGZiZDkifQ=="/>
  </w:docVars>
  <w:rsids>
    <w:rsidRoot w:val="008A54DD"/>
    <w:rsid w:val="0013093D"/>
    <w:rsid w:val="0015098C"/>
    <w:rsid w:val="001F4702"/>
    <w:rsid w:val="00292CF9"/>
    <w:rsid w:val="0030202A"/>
    <w:rsid w:val="005E5CA3"/>
    <w:rsid w:val="006C7BEF"/>
    <w:rsid w:val="007214DC"/>
    <w:rsid w:val="007D1687"/>
    <w:rsid w:val="00831BCE"/>
    <w:rsid w:val="008A54DD"/>
    <w:rsid w:val="008F4868"/>
    <w:rsid w:val="00906E0D"/>
    <w:rsid w:val="00916473"/>
    <w:rsid w:val="00944FBA"/>
    <w:rsid w:val="00A1051C"/>
    <w:rsid w:val="00A25F80"/>
    <w:rsid w:val="00A55EA0"/>
    <w:rsid w:val="00A94608"/>
    <w:rsid w:val="00BF1059"/>
    <w:rsid w:val="00C95A4D"/>
    <w:rsid w:val="00D65D35"/>
    <w:rsid w:val="00D75C31"/>
    <w:rsid w:val="00DB625F"/>
    <w:rsid w:val="00E2271B"/>
    <w:rsid w:val="00E50CD7"/>
    <w:rsid w:val="00E91FDF"/>
    <w:rsid w:val="01040F3A"/>
    <w:rsid w:val="01980129"/>
    <w:rsid w:val="0221260B"/>
    <w:rsid w:val="031076E7"/>
    <w:rsid w:val="03404D4A"/>
    <w:rsid w:val="043D7185"/>
    <w:rsid w:val="052E3AF5"/>
    <w:rsid w:val="06256FA3"/>
    <w:rsid w:val="07091040"/>
    <w:rsid w:val="0786665B"/>
    <w:rsid w:val="078C0708"/>
    <w:rsid w:val="08A61C6F"/>
    <w:rsid w:val="0C16036D"/>
    <w:rsid w:val="0C6D3281"/>
    <w:rsid w:val="0D68454A"/>
    <w:rsid w:val="0E77623D"/>
    <w:rsid w:val="0EE8519A"/>
    <w:rsid w:val="119F02CA"/>
    <w:rsid w:val="156B3533"/>
    <w:rsid w:val="168B140C"/>
    <w:rsid w:val="16EA4CA9"/>
    <w:rsid w:val="1BBD3272"/>
    <w:rsid w:val="1DEF42B5"/>
    <w:rsid w:val="1E0A26BF"/>
    <w:rsid w:val="1E1B2A71"/>
    <w:rsid w:val="1E23555F"/>
    <w:rsid w:val="1FDA406A"/>
    <w:rsid w:val="208805ED"/>
    <w:rsid w:val="24CE6A0D"/>
    <w:rsid w:val="259C5AD6"/>
    <w:rsid w:val="26D251BE"/>
    <w:rsid w:val="27756909"/>
    <w:rsid w:val="29AA01EA"/>
    <w:rsid w:val="29E24A0B"/>
    <w:rsid w:val="2A8020CA"/>
    <w:rsid w:val="2BD55811"/>
    <w:rsid w:val="2E053A60"/>
    <w:rsid w:val="2E1348A7"/>
    <w:rsid w:val="2F0953D4"/>
    <w:rsid w:val="32021299"/>
    <w:rsid w:val="32917586"/>
    <w:rsid w:val="373774D8"/>
    <w:rsid w:val="375C6DE7"/>
    <w:rsid w:val="39445322"/>
    <w:rsid w:val="3C1001A0"/>
    <w:rsid w:val="3F9E326F"/>
    <w:rsid w:val="443F67FF"/>
    <w:rsid w:val="469523B3"/>
    <w:rsid w:val="4A85227F"/>
    <w:rsid w:val="4B8E3F04"/>
    <w:rsid w:val="4C3411A3"/>
    <w:rsid w:val="4C5617E1"/>
    <w:rsid w:val="4E26606D"/>
    <w:rsid w:val="4E32494B"/>
    <w:rsid w:val="4FC64B13"/>
    <w:rsid w:val="533052B5"/>
    <w:rsid w:val="54DE51A6"/>
    <w:rsid w:val="55424C07"/>
    <w:rsid w:val="55FF55FD"/>
    <w:rsid w:val="57B53DE9"/>
    <w:rsid w:val="582626F2"/>
    <w:rsid w:val="59B61D42"/>
    <w:rsid w:val="59FE44C0"/>
    <w:rsid w:val="5D5563A9"/>
    <w:rsid w:val="604F493D"/>
    <w:rsid w:val="618B7898"/>
    <w:rsid w:val="62725DF9"/>
    <w:rsid w:val="662245B2"/>
    <w:rsid w:val="6AA9520C"/>
    <w:rsid w:val="6AD97F5A"/>
    <w:rsid w:val="6F08269A"/>
    <w:rsid w:val="76A1185A"/>
    <w:rsid w:val="78FA4387"/>
    <w:rsid w:val="79031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100" w:beforeLines="0" w:beforeAutospacing="0" w:after="100" w:afterLines="0" w:afterAutospacing="0" w:line="360" w:lineRule="auto"/>
      <w:jc w:val="center"/>
      <w:outlineLvl w:val="0"/>
    </w:pPr>
    <w:rPr>
      <w:rFonts w:ascii="Arial" w:hAnsi="Arial" w:eastAsia="宋体"/>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semiHidden/>
    <w:qFormat/>
    <w:uiPriority w:val="0"/>
  </w:style>
  <w:style w:type="paragraph" w:styleId="5">
    <w:name w:val="footer"/>
    <w:basedOn w:val="1"/>
    <w:link w:val="21"/>
    <w:autoRedefine/>
    <w:qFormat/>
    <w:uiPriority w:val="99"/>
    <w:pPr>
      <w:tabs>
        <w:tab w:val="center" w:pos="4153"/>
        <w:tab w:val="right" w:pos="8306"/>
      </w:tabs>
    </w:pPr>
    <w:rPr>
      <w:sz w:val="18"/>
    </w:rPr>
  </w:style>
  <w:style w:type="paragraph" w:styleId="6">
    <w:name w:val="Body Text Indent"/>
    <w:basedOn w:val="1"/>
    <w:next w:val="7"/>
    <w:qFormat/>
    <w:uiPriority w:val="0"/>
    <w:pPr>
      <w:keepNext w:val="0"/>
      <w:keepLines w:val="0"/>
      <w:widowControl w:val="0"/>
      <w:suppressLineNumbers w:val="0"/>
      <w:spacing w:before="0" w:beforeAutospacing="0" w:after="120" w:afterAutospacing="0"/>
      <w:ind w:left="420" w:leftChars="200" w:right="0"/>
      <w:jc w:val="left"/>
    </w:pPr>
    <w:rPr>
      <w:rFonts w:ascii="Times New Roman" w:hAnsi="Times New Roman"/>
      <w:kern w:val="0"/>
      <w:sz w:val="20"/>
      <w:szCs w:val="22"/>
      <w:lang w:eastAsia="en-US"/>
    </w:rPr>
  </w:style>
  <w:style w:type="paragraph" w:styleId="7">
    <w:name w:val="Body Text First Indent 2"/>
    <w:basedOn w:val="6"/>
    <w:next w:val="8"/>
    <w:unhideWhenUsed/>
    <w:qFormat/>
    <w:uiPriority w:val="99"/>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0"/>
      <w:lang w:val="en-US" w:eastAsia="zh-CN" w:bidi="ar"/>
    </w:rPr>
  </w:style>
  <w:style w:type="paragraph" w:styleId="8">
    <w:name w:val="Body Text First Indent"/>
    <w:basedOn w:val="4"/>
    <w:next w:val="9"/>
    <w:autoRedefine/>
    <w:unhideWhenUsed/>
    <w:qFormat/>
    <w:uiPriority w:val="99"/>
    <w:pPr>
      <w:ind w:firstLine="420" w:firstLineChars="100"/>
    </w:pPr>
    <w:rPr>
      <w:lang w:eastAsia="zh-CN"/>
    </w:rPr>
  </w:style>
  <w:style w:type="paragraph" w:styleId="9">
    <w:name w:val="toc 6"/>
    <w:basedOn w:val="1"/>
    <w:next w:val="1"/>
    <w:qFormat/>
    <w:uiPriority w:val="0"/>
    <w:pPr>
      <w:ind w:left="1000"/>
      <w:jc w:val="left"/>
    </w:pPr>
    <w:rPr>
      <w:rFonts w:ascii="Calibri" w:hAnsi="Calibri"/>
      <w:sz w:val="18"/>
      <w:szCs w:val="18"/>
    </w:rPr>
  </w:style>
  <w:style w:type="paragraph" w:styleId="10">
    <w:name w:val="Plain Text"/>
    <w:basedOn w:val="1"/>
    <w:autoRedefine/>
    <w:qFormat/>
    <w:uiPriority w:val="0"/>
    <w:pPr>
      <w:spacing w:beforeLines="50" w:afterLines="50" w:line="400" w:lineRule="exact"/>
    </w:pPr>
    <w:rPr>
      <w:rFonts w:ascii="宋体" w:hAnsi="Courier New"/>
      <w:sz w:val="24"/>
    </w:rPr>
  </w:style>
  <w:style w:type="paragraph" w:styleId="11">
    <w:name w:val="Body Text Indent 2"/>
    <w:basedOn w:val="1"/>
    <w:next w:val="12"/>
    <w:autoRedefine/>
    <w:qFormat/>
    <w:uiPriority w:val="0"/>
    <w:pPr>
      <w:spacing w:after="120" w:line="480" w:lineRule="auto"/>
      <w:ind w:left="420" w:leftChars="200"/>
    </w:pPr>
    <w:rPr>
      <w:sz w:val="24"/>
      <w:szCs w:val="20"/>
    </w:rPr>
  </w:style>
  <w:style w:type="paragraph" w:customStyle="1" w:styleId="12">
    <w:name w:val="z正文"/>
    <w:basedOn w:val="10"/>
    <w:autoRedefine/>
    <w:qFormat/>
    <w:uiPriority w:val="0"/>
    <w:pPr>
      <w:tabs>
        <w:tab w:val="left" w:pos="525"/>
      </w:tabs>
      <w:spacing w:line="360" w:lineRule="auto"/>
    </w:pPr>
    <w:rPr>
      <w:rFonts w:ascii="Times New Roman" w:hAnsi="宋体"/>
      <w:szCs w:val="24"/>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oc 1"/>
    <w:basedOn w:val="1"/>
    <w:next w:val="1"/>
    <w:qFormat/>
    <w:uiPriority w:val="0"/>
  </w:style>
  <w:style w:type="character" w:styleId="17">
    <w:name w:val="Strong"/>
    <w:basedOn w:val="16"/>
    <w:autoRedefine/>
    <w:qFormat/>
    <w:uiPriority w:val="0"/>
    <w:rPr>
      <w:b/>
    </w:rPr>
  </w:style>
  <w:style w:type="table" w:customStyle="1" w:styleId="18">
    <w:name w:val="Table Normal"/>
    <w:autoRedefine/>
    <w:semiHidden/>
    <w:unhideWhenUsed/>
    <w:qFormat/>
    <w:uiPriority w:val="0"/>
    <w:tblPr>
      <w:tblCellMar>
        <w:top w:w="0" w:type="dxa"/>
        <w:left w:w="0" w:type="dxa"/>
        <w:bottom w:w="0" w:type="dxa"/>
        <w:right w:w="0" w:type="dxa"/>
      </w:tblCellMar>
    </w:tblPr>
  </w:style>
  <w:style w:type="paragraph" w:customStyle="1" w:styleId="19">
    <w:name w:val="Table Text"/>
    <w:basedOn w:val="1"/>
    <w:autoRedefine/>
    <w:semiHidden/>
    <w:qFormat/>
    <w:uiPriority w:val="0"/>
    <w:rPr>
      <w:rFonts w:ascii="仿宋" w:hAnsi="仿宋" w:eastAsia="仿宋" w:cs="仿宋"/>
      <w:sz w:val="24"/>
      <w:szCs w:val="24"/>
    </w:rPr>
  </w:style>
  <w:style w:type="paragraph" w:customStyle="1" w:styleId="20">
    <w:name w:val="Table Paragraph"/>
    <w:basedOn w:val="1"/>
    <w:autoRedefine/>
    <w:qFormat/>
    <w:uiPriority w:val="1"/>
    <w:rPr>
      <w:rFonts w:ascii="宋体" w:hAnsi="宋体" w:eastAsia="宋体" w:cs="宋体"/>
      <w:sz w:val="22"/>
      <w:lang w:val="zh-CN" w:bidi="zh-CN"/>
    </w:rPr>
  </w:style>
  <w:style w:type="character" w:customStyle="1" w:styleId="21">
    <w:name w:val="页脚 Char"/>
    <w:basedOn w:val="16"/>
    <w:link w:val="5"/>
    <w:qFormat/>
    <w:uiPriority w:val="99"/>
    <w:rPr>
      <w:rFonts w:ascii="Arial" w:hAnsi="Arial" w:eastAsia="Arial" w:cs="Arial"/>
      <w:snapToGrid w:val="0"/>
      <w:color w:val="000000"/>
      <w:sz w:val="18"/>
      <w:szCs w:val="21"/>
      <w:lang w:eastAsia="en-US"/>
    </w:rPr>
  </w:style>
  <w:style w:type="paragraph" w:customStyle="1" w:styleId="22">
    <w:name w:val="样式 首行缩进:  2 字符"/>
    <w:basedOn w:val="1"/>
    <w:next w:val="1"/>
    <w:qFormat/>
    <w:uiPriority w:val="0"/>
    <w:pPr>
      <w:ind w:firstLine="560"/>
    </w:pPr>
    <w:rPr>
      <w:rFonts w:eastAsia="仿宋_GB2312" w:cs="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Angus</Company>
  <Pages>51</Pages>
  <Words>23153</Words>
  <Characters>24032</Characters>
  <Lines>162</Lines>
  <Paragraphs>45</Paragraphs>
  <TotalTime>39</TotalTime>
  <ScaleCrop>false</ScaleCrop>
  <LinksUpToDate>false</LinksUpToDate>
  <CharactersWithSpaces>24518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2023-11-16T16:09:00Z</dcterms:created>
  <dc:creator>段京</dc:creator>
  <cp:lastModifiedBy>雾灵风</cp:lastModifiedBy>
  <cp:lastPrinted>2024-04-23T01:33:00Z</cp:lastPrinted>
  <dcterms:modified xsi:type="dcterms:W3CDTF">2025-10-29T07:43:17Z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2023-12-06T08:42:42Z</vt:filetime>
  </property>
  <property fmtid="{D5CDD505-2E9C-101B-9397-08002B2CF9AE}" pid="4" name="KSOProductBuildVer">
    <vt:lpwstr>2052-12.1.0.23125</vt:lpwstr>
  </property>
  <property fmtid="{D5CDD505-2E9C-101B-9397-08002B2CF9AE}" pid="5" name="ICV">
    <vt:lpwstr>8821D4CCE1264DCA95CFE13EEBF05817_13</vt:lpwstr>
  </property>
  <property fmtid="{D5CDD505-2E9C-101B-9397-08002B2CF9AE}" pid="6" name="KSOTemplateDocerSaveRecord">
    <vt:lpwstr>eyJoZGlkIjoiYWM0YTQzOTY4NmE2MGYwMTdiY2ZmMDU3YzU3NDY1NTAiLCJ1c2VySWQiOiI0MzE0OTE3NzkifQ==</vt:lpwstr>
  </property>
</Properties>
</file>